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F1" w:rsidRPr="00C603A9" w:rsidRDefault="00703123">
      <w:pPr>
        <w:jc w:val="center"/>
      </w:pPr>
      <w:r>
        <w:rPr>
          <w:noProof/>
        </w:rPr>
        <w:drawing>
          <wp:inline distT="0" distB="0" distL="0" distR="0">
            <wp:extent cx="1205551" cy="16498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lestine_Logos-01-2-en.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0401" cy="1670199"/>
                    </a:xfrm>
                    <a:prstGeom prst="rect">
                      <a:avLst/>
                    </a:prstGeom>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4B3890" w:rsidRDefault="00392F20" w:rsidP="00392F20">
      <w:pPr>
        <w:pStyle w:val="Caption"/>
        <w:rPr>
          <w:szCs w:val="52"/>
        </w:rPr>
      </w:pPr>
      <w:r w:rsidRPr="004B3890">
        <w:rPr>
          <w:szCs w:val="52"/>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F003CB" w:rsidP="00392F20">
      <w:pPr>
        <w:pStyle w:val="BodyText"/>
        <w:jc w:val="center"/>
        <w:rPr>
          <w:b/>
          <w:bCs/>
          <w:sz w:val="40"/>
          <w:szCs w:val="40"/>
        </w:rPr>
      </w:pPr>
      <w:r>
        <w:rPr>
          <w:b/>
          <w:bCs/>
          <w:sz w:val="40"/>
          <w:szCs w:val="40"/>
        </w:rPr>
        <w:t>Israeli Settlements in the West Bank</w:t>
      </w:r>
      <w:r w:rsidR="003916F1" w:rsidRPr="00C603A9">
        <w:rPr>
          <w:b/>
          <w:bCs/>
          <w:sz w:val="40"/>
          <w:szCs w:val="40"/>
        </w:rPr>
        <w:t xml:space="preserve"> </w:t>
      </w:r>
    </w:p>
    <w:p w:rsidR="003916F1" w:rsidRPr="009A51D4" w:rsidRDefault="003916F1" w:rsidP="006A3931">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6A3931">
        <w:rPr>
          <w:rFonts w:hint="cs"/>
          <w:b/>
          <w:bCs/>
          <w:sz w:val="40"/>
          <w:szCs w:val="40"/>
          <w:rtl/>
        </w:rPr>
        <w:t>2019</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0B7819" w:rsidRDefault="003916F1">
      <w:pPr>
        <w:ind w:right="368" w:firstLine="284"/>
        <w:jc w:val="center"/>
        <w:rPr>
          <w:b/>
          <w:bCs/>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703123" w:rsidRDefault="003916F1">
      <w:pPr>
        <w:ind w:right="368" w:firstLine="284"/>
        <w:jc w:val="center"/>
        <w:rPr>
          <w:b/>
          <w:bCs/>
          <w:sz w:val="6"/>
          <w:szCs w:val="6"/>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F15515">
            <w:pPr>
              <w:rPr>
                <w:rFonts w:eastAsiaTheme="minorHAnsi"/>
              </w:rPr>
            </w:pPr>
            <w:r w:rsidRPr="00F15515">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703123">
            <w:pPr>
              <w:pStyle w:val="Heading5"/>
              <w:jc w:val="right"/>
              <w:rPr>
                <w:b w:val="0"/>
                <w:bCs w:val="0"/>
                <w:sz w:val="28"/>
                <w:szCs w:val="28"/>
              </w:rPr>
            </w:pPr>
            <w:r>
              <w:rPr>
                <w:sz w:val="28"/>
                <w:szCs w:val="28"/>
              </w:rPr>
              <w:t>                                     </w:t>
            </w:r>
            <w:r w:rsidR="000D61D3" w:rsidRPr="000D61D3">
              <w:rPr>
                <w:sz w:val="28"/>
                <w:szCs w:val="28"/>
              </w:rPr>
              <w:t>November</w:t>
            </w:r>
            <w:r>
              <w:rPr>
                <w:sz w:val="28"/>
                <w:szCs w:val="28"/>
              </w:rPr>
              <w:t xml:space="preserve">, </w:t>
            </w:r>
            <w:r w:rsidR="006A3931">
              <w:rPr>
                <w:sz w:val="28"/>
                <w:szCs w:val="28"/>
              </w:rPr>
              <w:t>2020</w:t>
            </w:r>
          </w:p>
          <w:p w:rsidR="00656361" w:rsidRDefault="00656361">
            <w:pPr>
              <w:jc w:val="right"/>
              <w:rPr>
                <w:rFonts w:eastAsiaTheme="minorHAnsi"/>
                <w:sz w:val="14"/>
                <w:szCs w:val="14"/>
              </w:rPr>
            </w:pPr>
          </w:p>
        </w:tc>
      </w:tr>
    </w:tbl>
    <w:p w:rsidR="000D61D3" w:rsidRDefault="000D61D3">
      <w:pPr>
        <w:pStyle w:val="BodyText2"/>
        <w:jc w:val="lowKashida"/>
        <w:sectPr w:rsidR="000D61D3" w:rsidSect="00A25605">
          <w:pgSz w:w="11909" w:h="16834" w:code="9"/>
          <w:pgMar w:top="1418" w:right="1418" w:bottom="1418" w:left="1418" w:header="709" w:footer="709" w:gutter="0"/>
          <w:pgNumType w:start="25"/>
          <w:cols w:space="720"/>
          <w:bidi/>
          <w:rtlGutter/>
        </w:sectPr>
      </w:pP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w:t>
      </w:r>
      <w:bookmarkStart w:id="0" w:name="_GoBack"/>
      <w:bookmarkEnd w:id="0"/>
      <w:r w:rsidRPr="00C603A9">
        <w:rPr>
          <w:sz w:val="24"/>
          <w:szCs w:val="24"/>
        </w:rPr>
        <w:t xml:space="preserve"> IN THE ARABIC ORDER (FROM RIGHT TO LEFT)</w:t>
      </w:r>
    </w:p>
    <w:p w:rsidR="003916F1" w:rsidRPr="00C603A9" w:rsidRDefault="00725D07" w:rsidP="00F80373">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935990</wp:posOffset>
                </wp:positionV>
                <wp:extent cx="5372100" cy="800100"/>
                <wp:effectExtent l="43180" t="43815" r="42545" b="419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FF7E7A" w:rsidRDefault="00FF7E7A">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KBy6dwvAgAAXAQAAA4AAAAAAAAAAAAAAAAALgIA&#10;AGRycy9lMm9Eb2MueG1sUEsBAi0AFAAGAAgAAAAhAJXgMMTfAAAACgEAAA8AAAAAAAAAAAAAAAAA&#10;iQQAAGRycy9kb3ducmV2LnhtbFBLBQYAAAAABAAEAPMAAACVBQAAAAA=&#10;" strokeweight="6pt">
                <v:stroke linestyle="thickBetweenThin"/>
                <v:textbox>
                  <w:txbxContent>
                    <w:p w:rsidR="00FF7E7A" w:rsidRDefault="00FF7E7A">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3916F1" w:rsidRPr="00C603A9" w:rsidRDefault="00551CFA" w:rsidP="00551CFA">
      <w:pPr>
        <w:jc w:val="center"/>
        <w:rPr>
          <w:rFonts w:cs="Times New Roman"/>
          <w:sz w:val="16"/>
          <w:szCs w:val="16"/>
        </w:rPr>
      </w:pPr>
      <w:r w:rsidRPr="00551CFA">
        <w:rPr>
          <w:rFonts w:cs="Simplified Arabic"/>
          <w:noProof/>
        </w:rPr>
        <w:drawing>
          <wp:inline distT="0" distB="0" distL="0" distR="0">
            <wp:extent cx="2017788" cy="2729948"/>
            <wp:effectExtent l="0" t="0" r="0" b="0"/>
            <wp:docPr id="5"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4189" cy="2752138"/>
                    </a:xfrm>
                    <a:prstGeom prst="rect">
                      <a:avLst/>
                    </a:prstGeom>
                    <a:noFill/>
                  </pic:spPr>
                </pic:pic>
              </a:graphicData>
            </a:graphic>
          </wp:inline>
        </w:drawing>
      </w:r>
    </w:p>
    <w:p w:rsidR="003916F1" w:rsidRDefault="003916F1">
      <w:pPr>
        <w:pStyle w:val="Heading8"/>
        <w:jc w:val="center"/>
        <w:rPr>
          <w:sz w:val="16"/>
          <w:szCs w:val="10"/>
        </w:rPr>
      </w:pPr>
    </w:p>
    <w:p w:rsidR="00703123" w:rsidRDefault="00703123" w:rsidP="00703123"/>
    <w:p w:rsidR="00703123" w:rsidRPr="00703123" w:rsidRDefault="00703123" w:rsidP="00703123"/>
    <w:p w:rsidR="003916F1" w:rsidRPr="00C603A9" w:rsidRDefault="003916F1" w:rsidP="00BE4FF5">
      <w:pPr>
        <w:pStyle w:val="Heading8"/>
        <w:rPr>
          <w:sz w:val="28"/>
        </w:rPr>
      </w:pPr>
    </w:p>
    <w:p w:rsidR="003916F1" w:rsidRPr="00C603A9" w:rsidRDefault="003916F1" w:rsidP="006A3931">
      <w:pPr>
        <w:pStyle w:val="BodyText"/>
        <w:rPr>
          <w:sz w:val="20"/>
          <w:szCs w:val="20"/>
        </w:rPr>
      </w:pPr>
      <w:r w:rsidRPr="00C603A9">
        <w:rPr>
          <w:sz w:val="20"/>
          <w:szCs w:val="20"/>
        </w:rPr>
        <w:sym w:font="Symbol" w:char="F0E3"/>
      </w:r>
      <w:r w:rsidRPr="00C603A9">
        <w:rPr>
          <w:sz w:val="20"/>
          <w:szCs w:val="20"/>
        </w:rPr>
        <w:t xml:space="preserve"> </w:t>
      </w:r>
      <w:proofErr w:type="gramStart"/>
      <w:r w:rsidR="00314A4F">
        <w:rPr>
          <w:sz w:val="20"/>
          <w:szCs w:val="20"/>
        </w:rPr>
        <w:t>November</w:t>
      </w:r>
      <w:r w:rsidRPr="00C603A9">
        <w:rPr>
          <w:sz w:val="20"/>
          <w:szCs w:val="20"/>
        </w:rPr>
        <w:t>,</w:t>
      </w:r>
      <w:proofErr w:type="gramEnd"/>
      <w:r w:rsidRPr="00C603A9">
        <w:rPr>
          <w:sz w:val="20"/>
          <w:szCs w:val="20"/>
        </w:rPr>
        <w:t xml:space="preserve"> </w:t>
      </w:r>
      <w:r w:rsidR="006A3931">
        <w:rPr>
          <w:sz w:val="20"/>
          <w:szCs w:val="20"/>
        </w:rPr>
        <w:t>2020</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Default="003916F1" w:rsidP="006A3931">
      <w:pPr>
        <w:pStyle w:val="BodyText"/>
        <w:rPr>
          <w:i/>
          <w:iCs/>
          <w:szCs w:val="24"/>
        </w:rPr>
      </w:pPr>
      <w:r w:rsidRPr="00C603A9">
        <w:rPr>
          <w:b/>
          <w:bCs/>
          <w:szCs w:val="24"/>
        </w:rPr>
        <w:t>Palestinian Ce</w:t>
      </w:r>
      <w:r w:rsidR="00BE4FF5" w:rsidRPr="00C603A9">
        <w:rPr>
          <w:b/>
          <w:bCs/>
          <w:szCs w:val="24"/>
        </w:rPr>
        <w:t xml:space="preserve">ntral Bureau of Statistics, </w:t>
      </w:r>
      <w:r w:rsidR="006A3931">
        <w:rPr>
          <w:b/>
          <w:bCs/>
          <w:szCs w:val="24"/>
        </w:rPr>
        <w:t>2020</w:t>
      </w:r>
      <w:r w:rsidRPr="00C603A9">
        <w:rPr>
          <w:b/>
          <w:bCs/>
          <w:szCs w:val="24"/>
        </w:rPr>
        <w:t>.</w:t>
      </w:r>
      <w:r w:rsidRPr="00C603A9">
        <w:rPr>
          <w:szCs w:val="24"/>
        </w:rPr>
        <w:t xml:space="preserve">  </w:t>
      </w:r>
      <w:r w:rsidR="00F003CB">
        <w:rPr>
          <w:i/>
          <w:iCs/>
          <w:szCs w:val="24"/>
        </w:rPr>
        <w:t>Israeli Settlements in the West Bank</w:t>
      </w:r>
      <w:r w:rsidRPr="00C603A9">
        <w:rPr>
          <w:i/>
          <w:iCs/>
          <w:szCs w:val="24"/>
        </w:rPr>
        <w:t>, Annual Statistical Report</w:t>
      </w:r>
      <w:r w:rsidR="00B6398E">
        <w:rPr>
          <w:i/>
          <w:iCs/>
          <w:szCs w:val="24"/>
        </w:rPr>
        <w:t>,</w:t>
      </w:r>
      <w:r w:rsidRPr="00C603A9">
        <w:rPr>
          <w:i/>
          <w:iCs/>
          <w:szCs w:val="24"/>
        </w:rPr>
        <w:t xml:space="preserve"> </w:t>
      </w:r>
      <w:r w:rsidR="006A3931">
        <w:rPr>
          <w:rFonts w:cs="Times New Roman"/>
          <w:i/>
          <w:iCs/>
          <w:szCs w:val="24"/>
        </w:rPr>
        <w:t>2019</w:t>
      </w:r>
      <w:r w:rsidRPr="00C603A9">
        <w:rPr>
          <w:i/>
          <w:iCs/>
          <w:szCs w:val="24"/>
        </w:rPr>
        <w:t>.</w:t>
      </w:r>
      <w:r w:rsidRPr="00C603A9">
        <w:rPr>
          <w:i/>
          <w:iCs/>
        </w:rPr>
        <w:t xml:space="preserve"> </w:t>
      </w:r>
      <w:r w:rsidRPr="000A6E15">
        <w:t>Ramallah- Palestine</w:t>
      </w:r>
    </w:p>
    <w:p w:rsidR="00703123" w:rsidRPr="00C603A9" w:rsidRDefault="00703123" w:rsidP="006A3931">
      <w:pPr>
        <w:pStyle w:val="BodyText"/>
        <w:rPr>
          <w:i/>
          <w:iCs/>
          <w:szCs w:val="24"/>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C92CF5" w:rsidRPr="007C312E" w:rsidTr="00703123">
        <w:trPr>
          <w:trHeight w:val="2258"/>
          <w:jc w:val="center"/>
        </w:trPr>
        <w:tc>
          <w:tcPr>
            <w:tcW w:w="6709" w:type="dxa"/>
          </w:tcPr>
          <w:p w:rsidR="00C92CF5" w:rsidRPr="007C312E" w:rsidRDefault="00C92CF5" w:rsidP="00703123">
            <w:pPr>
              <w:bidi w:val="0"/>
              <w:rPr>
                <w:color w:val="000000" w:themeColor="text1"/>
              </w:rPr>
            </w:pPr>
            <w:r w:rsidRPr="007C312E">
              <w:rPr>
                <w:color w:val="000000" w:themeColor="text1"/>
              </w:rPr>
              <w:t>All correspondence should</w:t>
            </w:r>
            <w:r w:rsidRPr="007C312E">
              <w:rPr>
                <w:color w:val="000000" w:themeColor="text1"/>
                <w:rtl/>
              </w:rPr>
              <w:t xml:space="preserve"> </w:t>
            </w:r>
            <w:r w:rsidRPr="007C312E">
              <w:rPr>
                <w:color w:val="000000" w:themeColor="text1"/>
              </w:rPr>
              <w:t>be directed to</w:t>
            </w:r>
            <w:r w:rsidRPr="007C312E">
              <w:rPr>
                <w:color w:val="000000" w:themeColor="text1"/>
                <w:rtl/>
              </w:rPr>
              <w:t>:</w:t>
            </w:r>
          </w:p>
          <w:p w:rsidR="00C92CF5" w:rsidRPr="007C312E" w:rsidRDefault="00C92CF5" w:rsidP="00703123">
            <w:pPr>
              <w:bidi w:val="0"/>
              <w:rPr>
                <w:b/>
                <w:bCs/>
                <w:color w:val="000000" w:themeColor="text1"/>
              </w:rPr>
            </w:pPr>
            <w:r w:rsidRPr="007C312E">
              <w:rPr>
                <w:b/>
                <w:bCs/>
                <w:color w:val="000000" w:themeColor="text1"/>
              </w:rPr>
              <w:t>Palestinian Central Bureau of Statistics</w:t>
            </w:r>
          </w:p>
          <w:p w:rsidR="00C92CF5" w:rsidRPr="007C312E" w:rsidRDefault="00C92CF5" w:rsidP="00703123">
            <w:pPr>
              <w:bidi w:val="0"/>
              <w:rPr>
                <w:color w:val="000000" w:themeColor="text1"/>
              </w:rPr>
            </w:pPr>
            <w:r w:rsidRPr="007C312E">
              <w:rPr>
                <w:b/>
                <w:bCs/>
                <w:color w:val="000000" w:themeColor="text1"/>
              </w:rPr>
              <w:t>P. O. Box 1647,</w:t>
            </w:r>
            <w:r w:rsidRPr="007C312E">
              <w:rPr>
                <w:rFonts w:ascii="Arial" w:hAnsi="Arial" w:cs="Arial"/>
                <w:color w:val="000000" w:themeColor="text1"/>
              </w:rPr>
              <w:t xml:space="preserve"> </w:t>
            </w:r>
            <w:r w:rsidRPr="007C312E">
              <w:rPr>
                <w:color w:val="000000" w:themeColor="text1"/>
              </w:rPr>
              <w:t xml:space="preserve">Ramallah – Palestine. </w:t>
            </w:r>
          </w:p>
          <w:p w:rsidR="00C92CF5" w:rsidRPr="007C312E" w:rsidRDefault="00C92CF5" w:rsidP="00703123">
            <w:pPr>
              <w:bidi w:val="0"/>
              <w:rPr>
                <w:color w:val="000000" w:themeColor="text1"/>
                <w:lang w:eastAsia="fr-FR"/>
              </w:rPr>
            </w:pPr>
            <w:r w:rsidRPr="007C312E">
              <w:rPr>
                <w:color w:val="000000" w:themeColor="text1"/>
                <w:lang w:eastAsia="fr-FR"/>
              </w:rPr>
              <w:t xml:space="preserve">Tel: </w:t>
            </w:r>
            <w:r w:rsidRPr="007C312E">
              <w:rPr>
                <w:color w:val="000000" w:themeColor="text1"/>
              </w:rPr>
              <w:t>(970/972) 2 2982700</w:t>
            </w:r>
          </w:p>
          <w:p w:rsidR="00C92CF5" w:rsidRPr="007C312E" w:rsidRDefault="00C92CF5" w:rsidP="00703123">
            <w:pPr>
              <w:bidi w:val="0"/>
              <w:rPr>
                <w:color w:val="000000" w:themeColor="text1"/>
              </w:rPr>
            </w:pPr>
            <w:r w:rsidRPr="007C312E">
              <w:rPr>
                <w:color w:val="000000" w:themeColor="text1"/>
                <w:lang w:eastAsia="fr-FR"/>
              </w:rPr>
              <w:t xml:space="preserve">Fax: </w:t>
            </w:r>
            <w:r w:rsidRPr="007C312E">
              <w:rPr>
                <w:color w:val="000000" w:themeColor="text1"/>
              </w:rPr>
              <w:t>(970/972) 2 2982710</w:t>
            </w:r>
          </w:p>
          <w:p w:rsidR="00C92CF5" w:rsidRPr="007C312E" w:rsidRDefault="00C92CF5" w:rsidP="00703123">
            <w:pPr>
              <w:bidi w:val="0"/>
              <w:rPr>
                <w:color w:val="000000" w:themeColor="text1"/>
                <w:rtl/>
              </w:rPr>
            </w:pPr>
            <w:r w:rsidRPr="007C312E">
              <w:rPr>
                <w:color w:val="000000" w:themeColor="text1"/>
              </w:rPr>
              <w:t>Toll Free:1800300300</w:t>
            </w:r>
          </w:p>
          <w:p w:rsidR="00C92CF5" w:rsidRPr="007C312E" w:rsidRDefault="00C92CF5" w:rsidP="00703123">
            <w:pPr>
              <w:bidi w:val="0"/>
              <w:rPr>
                <w:color w:val="000000" w:themeColor="text1"/>
              </w:rPr>
            </w:pPr>
            <w:r w:rsidRPr="007C312E">
              <w:rPr>
                <w:color w:val="000000" w:themeColor="text1"/>
                <w:lang w:eastAsia="fr-FR"/>
              </w:rPr>
              <w:t>E-Mail</w:t>
            </w:r>
            <w:r w:rsidRPr="007C312E">
              <w:rPr>
                <w:color w:val="000000" w:themeColor="text1"/>
                <w:rtl/>
              </w:rPr>
              <w:t xml:space="preserve">: </w:t>
            </w:r>
            <w:r w:rsidRPr="007C312E">
              <w:rPr>
                <w:color w:val="000000" w:themeColor="text1"/>
                <w:lang w:eastAsia="fr-FR"/>
              </w:rPr>
              <w:t>diwan@pcbs.gov.ps</w:t>
            </w:r>
          </w:p>
          <w:p w:rsidR="00C92CF5" w:rsidRPr="00703123" w:rsidRDefault="00C92CF5" w:rsidP="00703123">
            <w:pPr>
              <w:pStyle w:val="BlockText"/>
              <w:bidi w:val="0"/>
              <w:ind w:left="0" w:right="0"/>
              <w:jc w:val="left"/>
              <w:rPr>
                <w:b w:val="0"/>
                <w:bCs w:val="0"/>
                <w:color w:val="000000" w:themeColor="text1"/>
                <w:sz w:val="20"/>
                <w:rtl/>
              </w:rPr>
            </w:pPr>
            <w:r w:rsidRPr="007C312E">
              <w:rPr>
                <w:color w:val="000000" w:themeColor="text1"/>
                <w:sz w:val="20"/>
              </w:rPr>
              <w:t xml:space="preserve">Website:  http://www.pcbs.gov.ps </w:t>
            </w:r>
            <w:r w:rsidRPr="007C312E">
              <w:rPr>
                <w:rFonts w:hint="cs"/>
                <w:color w:val="000000" w:themeColor="text1"/>
                <w:sz w:val="20"/>
                <w:rtl/>
              </w:rPr>
              <w:t xml:space="preserve">   </w:t>
            </w:r>
          </w:p>
          <w:p w:rsidR="00C92CF5" w:rsidRPr="001A54E0" w:rsidRDefault="00C92CF5" w:rsidP="00703123">
            <w:pPr>
              <w:tabs>
                <w:tab w:val="left" w:pos="952"/>
              </w:tabs>
              <w:bidi w:val="0"/>
              <w:rPr>
                <w:lang w:eastAsia="ar-SA"/>
              </w:rPr>
            </w:pPr>
          </w:p>
        </w:tc>
        <w:tc>
          <w:tcPr>
            <w:tcW w:w="2363" w:type="dxa"/>
          </w:tcPr>
          <w:p w:rsidR="00703123" w:rsidRDefault="00551CFA" w:rsidP="00703123">
            <w:pPr>
              <w:pStyle w:val="BlockText"/>
              <w:bidi w:val="0"/>
              <w:ind w:left="0" w:right="0"/>
              <w:jc w:val="left"/>
              <w:rPr>
                <w:color w:val="000000" w:themeColor="text1"/>
                <w:sz w:val="20"/>
              </w:rPr>
            </w:pPr>
            <w:r w:rsidRPr="00551CFA">
              <w:rPr>
                <w:noProof/>
                <w:color w:val="000000" w:themeColor="text1"/>
                <w:rtl/>
              </w:rPr>
              <w:drawing>
                <wp:anchor distT="0" distB="0" distL="114300" distR="114300" simplePos="0" relativeHeight="251659264" behindDoc="1" locked="0" layoutInCell="1" allowOverlap="1">
                  <wp:simplePos x="0" y="0"/>
                  <wp:positionH relativeFrom="column">
                    <wp:posOffset>255353</wp:posOffset>
                  </wp:positionH>
                  <wp:positionV relativeFrom="paragraph">
                    <wp:posOffset>66040</wp:posOffset>
                  </wp:positionV>
                  <wp:extent cx="958215" cy="968375"/>
                  <wp:effectExtent l="0" t="0" r="0" b="0"/>
                  <wp:wrapTight wrapText="bothSides">
                    <wp:wrapPolygon edited="0">
                      <wp:start x="6871" y="0"/>
                      <wp:lineTo x="3865" y="1275"/>
                      <wp:lineTo x="0" y="5524"/>
                      <wp:lineTo x="0" y="16572"/>
                      <wp:lineTo x="4724" y="20396"/>
                      <wp:lineTo x="6871" y="21246"/>
                      <wp:lineTo x="14171" y="21246"/>
                      <wp:lineTo x="16318" y="20396"/>
                      <wp:lineTo x="21042" y="16572"/>
                      <wp:lineTo x="21042" y="5524"/>
                      <wp:lineTo x="17177" y="1275"/>
                      <wp:lineTo x="14171" y="0"/>
                      <wp:lineTo x="6871" y="0"/>
                    </wp:wrapPolygon>
                  </wp:wrapTight>
                  <wp:docPr id="13"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3" cstate="print"/>
                          <a:srcRect/>
                          <a:stretch>
                            <a:fillRect/>
                          </a:stretch>
                        </pic:blipFill>
                        <pic:spPr bwMode="auto">
                          <a:xfrm>
                            <a:off x="0" y="0"/>
                            <a:ext cx="958215" cy="968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03123" w:rsidRPr="0035222C">
              <w:rPr>
                <w:color w:val="000000" w:themeColor="text1"/>
                <w:sz w:val="20"/>
              </w:rPr>
              <w:t xml:space="preserve"> </w:t>
            </w:r>
          </w:p>
          <w:p w:rsidR="00703123" w:rsidRDefault="00703123" w:rsidP="00703123">
            <w:pPr>
              <w:pStyle w:val="BlockText"/>
              <w:bidi w:val="0"/>
              <w:ind w:left="0" w:right="0"/>
              <w:jc w:val="left"/>
              <w:rPr>
                <w:color w:val="000000" w:themeColor="text1"/>
                <w:sz w:val="20"/>
              </w:rPr>
            </w:pPr>
          </w:p>
          <w:p w:rsidR="00703123" w:rsidRDefault="00703123" w:rsidP="00703123">
            <w:pPr>
              <w:pStyle w:val="BlockText"/>
              <w:bidi w:val="0"/>
              <w:ind w:left="0" w:right="0"/>
              <w:jc w:val="left"/>
              <w:rPr>
                <w:color w:val="000000" w:themeColor="text1"/>
                <w:sz w:val="20"/>
              </w:rPr>
            </w:pPr>
          </w:p>
          <w:p w:rsidR="00703123" w:rsidRDefault="00703123" w:rsidP="00703123">
            <w:pPr>
              <w:pStyle w:val="BlockText"/>
              <w:bidi w:val="0"/>
              <w:ind w:left="0" w:right="0"/>
              <w:jc w:val="left"/>
              <w:rPr>
                <w:color w:val="000000" w:themeColor="text1"/>
                <w:sz w:val="20"/>
              </w:rPr>
            </w:pPr>
          </w:p>
          <w:p w:rsidR="00703123" w:rsidRDefault="00703123" w:rsidP="00703123">
            <w:pPr>
              <w:pStyle w:val="BlockText"/>
              <w:bidi w:val="0"/>
              <w:ind w:left="0" w:right="0"/>
              <w:jc w:val="left"/>
              <w:rPr>
                <w:color w:val="000000" w:themeColor="text1"/>
                <w:sz w:val="20"/>
              </w:rPr>
            </w:pPr>
          </w:p>
          <w:p w:rsidR="00703123" w:rsidRDefault="00703123" w:rsidP="00703123">
            <w:pPr>
              <w:pStyle w:val="BlockText"/>
              <w:bidi w:val="0"/>
              <w:ind w:left="0" w:right="0"/>
              <w:jc w:val="left"/>
              <w:rPr>
                <w:color w:val="000000" w:themeColor="text1"/>
                <w:sz w:val="20"/>
              </w:rPr>
            </w:pPr>
          </w:p>
          <w:p w:rsidR="00703123" w:rsidRDefault="00703123" w:rsidP="00703123">
            <w:pPr>
              <w:pStyle w:val="BlockText"/>
              <w:bidi w:val="0"/>
              <w:ind w:left="0" w:right="0"/>
              <w:jc w:val="left"/>
              <w:rPr>
                <w:color w:val="000000" w:themeColor="text1"/>
                <w:sz w:val="20"/>
              </w:rPr>
            </w:pPr>
          </w:p>
          <w:p w:rsidR="00703123" w:rsidRDefault="00703123" w:rsidP="00703123">
            <w:pPr>
              <w:pStyle w:val="BlockText"/>
              <w:bidi w:val="0"/>
              <w:ind w:left="0" w:right="0"/>
              <w:jc w:val="left"/>
              <w:rPr>
                <w:color w:val="000000" w:themeColor="text1"/>
                <w:sz w:val="20"/>
              </w:rPr>
            </w:pPr>
          </w:p>
          <w:p w:rsidR="00703123" w:rsidRPr="00703123" w:rsidRDefault="00703123" w:rsidP="00703123">
            <w:pPr>
              <w:pStyle w:val="BlockText"/>
              <w:bidi w:val="0"/>
              <w:ind w:left="0" w:right="0"/>
              <w:jc w:val="left"/>
              <w:rPr>
                <w:color w:val="000000" w:themeColor="text1"/>
                <w:sz w:val="6"/>
                <w:szCs w:val="10"/>
              </w:rPr>
            </w:pPr>
          </w:p>
          <w:p w:rsidR="00703123" w:rsidRPr="0035222C" w:rsidRDefault="00703123" w:rsidP="001510CB">
            <w:pPr>
              <w:pStyle w:val="BlockText"/>
              <w:bidi w:val="0"/>
              <w:ind w:left="0" w:right="0"/>
              <w:jc w:val="right"/>
              <w:rPr>
                <w:b w:val="0"/>
                <w:bCs w:val="0"/>
                <w:color w:val="000000" w:themeColor="text1"/>
                <w:sz w:val="20"/>
                <w:rtl/>
              </w:rPr>
            </w:pPr>
            <w:r w:rsidRPr="0035222C">
              <w:rPr>
                <w:color w:val="000000" w:themeColor="text1"/>
                <w:sz w:val="20"/>
              </w:rPr>
              <w:t xml:space="preserve">Reference ID: </w:t>
            </w:r>
            <w:r w:rsidR="001510CB">
              <w:rPr>
                <w:color w:val="000000" w:themeColor="text1"/>
                <w:sz w:val="20"/>
              </w:rPr>
              <w:t>2534</w:t>
            </w:r>
          </w:p>
          <w:p w:rsidR="00C92CF5" w:rsidRPr="007C312E" w:rsidRDefault="00C92CF5" w:rsidP="00703123">
            <w:pPr>
              <w:jc w:val="center"/>
              <w:rPr>
                <w:color w:val="000000" w:themeColor="text1"/>
                <w:rtl/>
              </w:rPr>
            </w:pPr>
          </w:p>
        </w:tc>
      </w:tr>
    </w:tbl>
    <w:p w:rsidR="00703123" w:rsidRDefault="00703123">
      <w:pPr>
        <w:jc w:val="center"/>
        <w:rPr>
          <w:b/>
          <w:bCs/>
          <w:sz w:val="28"/>
          <w:szCs w:val="28"/>
        </w:rPr>
      </w:pPr>
    </w:p>
    <w:p w:rsidR="00703123" w:rsidRDefault="00703123">
      <w:pPr>
        <w:rPr>
          <w:b/>
          <w:bCs/>
          <w:sz w:val="28"/>
          <w:szCs w:val="28"/>
        </w:rPr>
      </w:pPr>
      <w:r>
        <w:rPr>
          <w:b/>
          <w:bCs/>
          <w:sz w:val="28"/>
          <w:szCs w:val="28"/>
        </w:rPr>
        <w:br w:type="page"/>
      </w:r>
    </w:p>
    <w:p w:rsidR="003916F1" w:rsidRPr="00C603A9" w:rsidRDefault="003916F1">
      <w:pPr>
        <w:jc w:val="center"/>
        <w:rPr>
          <w:b/>
          <w:bCs/>
          <w:sz w:val="28"/>
          <w:szCs w:val="28"/>
        </w:rPr>
      </w:pPr>
      <w:r w:rsidRPr="00C603A9">
        <w:rPr>
          <w:b/>
          <w:bCs/>
          <w:sz w:val="28"/>
          <w:szCs w:val="28"/>
        </w:rPr>
        <w:lastRenderedPageBreak/>
        <w:t>Acknowledgments</w:t>
      </w:r>
    </w:p>
    <w:p w:rsidR="003916F1" w:rsidRPr="000B7819" w:rsidRDefault="003916F1">
      <w:pPr>
        <w:tabs>
          <w:tab w:val="left" w:pos="4395"/>
        </w:tabs>
        <w:ind w:left="993" w:right="1133"/>
        <w:jc w:val="center"/>
        <w:rPr>
          <w:sz w:val="28"/>
          <w:szCs w:val="28"/>
        </w:rPr>
      </w:pPr>
    </w:p>
    <w:p w:rsidR="00B11FFB" w:rsidRPr="00C603A9" w:rsidRDefault="00B11FFB" w:rsidP="000E3502">
      <w:pPr>
        <w:jc w:val="lowKashida"/>
        <w:rPr>
          <w:b/>
          <w:bCs/>
          <w:sz w:val="24"/>
          <w:szCs w:val="24"/>
        </w:rPr>
      </w:pPr>
      <w:r w:rsidRPr="00C603A9">
        <w:rPr>
          <w:b/>
          <w:bCs/>
          <w:sz w:val="24"/>
          <w:szCs w:val="24"/>
        </w:rPr>
        <w:t xml:space="preserve">The Palestinian Central Bureau of Statistics (PCBS) extends its deep appreciations to all </w:t>
      </w:r>
      <w:r w:rsidR="000E3502" w:rsidRPr="000E3502">
        <w:rPr>
          <w:b/>
          <w:bCs/>
          <w:sz w:val="24"/>
          <w:szCs w:val="24"/>
        </w:rPr>
        <w:t xml:space="preserve">Palestinian </w:t>
      </w:r>
      <w:r w:rsidR="000E3502">
        <w:rPr>
          <w:b/>
          <w:bCs/>
          <w:sz w:val="24"/>
          <w:szCs w:val="24"/>
        </w:rPr>
        <w:t>I</w:t>
      </w:r>
      <w:r w:rsidR="000E3502" w:rsidRPr="000E3502">
        <w:rPr>
          <w:b/>
          <w:bCs/>
          <w:sz w:val="24"/>
          <w:szCs w:val="24"/>
        </w:rPr>
        <w:t xml:space="preserve">nstitutions </w:t>
      </w:r>
      <w:r w:rsidRPr="00C603A9">
        <w:rPr>
          <w:b/>
          <w:bCs/>
          <w:sz w:val="24"/>
          <w:szCs w:val="24"/>
        </w:rPr>
        <w:t>in the preparation of this report.</w:t>
      </w:r>
    </w:p>
    <w:p w:rsidR="008B113C" w:rsidRPr="00C603A9" w:rsidRDefault="008B113C" w:rsidP="008B113C">
      <w:pPr>
        <w:jc w:val="lowKashida"/>
        <w:rPr>
          <w:b/>
          <w:bCs/>
          <w:sz w:val="24"/>
          <w:szCs w:val="24"/>
        </w:rPr>
      </w:pPr>
    </w:p>
    <w:p w:rsidR="006471DC" w:rsidRDefault="008B113C" w:rsidP="00413583">
      <w:pPr>
        <w:jc w:val="lowKashida"/>
        <w:rPr>
          <w:b/>
          <w:bCs/>
          <w:sz w:val="24"/>
          <w:szCs w:val="24"/>
        </w:rPr>
      </w:pPr>
      <w:proofErr w:type="gramStart"/>
      <w:r w:rsidRPr="00C603A9">
        <w:rPr>
          <w:b/>
          <w:bCs/>
          <w:sz w:val="24"/>
          <w:szCs w:val="24"/>
        </w:rPr>
        <w:t xml:space="preserve">The </w:t>
      </w:r>
      <w:r w:rsidR="000E3502" w:rsidRPr="000E3502">
        <w:rPr>
          <w:b/>
          <w:bCs/>
          <w:sz w:val="24"/>
          <w:szCs w:val="24"/>
        </w:rPr>
        <w:t xml:space="preserve">Report </w:t>
      </w:r>
      <w:r w:rsidR="000E3502">
        <w:rPr>
          <w:b/>
          <w:bCs/>
          <w:sz w:val="24"/>
          <w:szCs w:val="24"/>
        </w:rPr>
        <w:t xml:space="preserve">of the </w:t>
      </w:r>
      <w:r w:rsidR="00F003CB">
        <w:rPr>
          <w:b/>
          <w:bCs/>
          <w:sz w:val="24"/>
          <w:szCs w:val="24"/>
        </w:rPr>
        <w:t>Israeli Settlements in the West Bank</w:t>
      </w:r>
      <w:r w:rsidR="00B6398E">
        <w:rPr>
          <w:b/>
          <w:bCs/>
          <w:sz w:val="24"/>
          <w:szCs w:val="24"/>
        </w:rPr>
        <w:t xml:space="preserve">, </w:t>
      </w:r>
      <w:r w:rsidR="006A3931">
        <w:rPr>
          <w:rFonts w:hint="cs"/>
          <w:b/>
          <w:bCs/>
          <w:sz w:val="24"/>
          <w:szCs w:val="24"/>
          <w:rtl/>
        </w:rPr>
        <w:t>2019</w:t>
      </w:r>
      <w:r w:rsidRPr="00C603A9">
        <w:rPr>
          <w:b/>
          <w:bCs/>
          <w:sz w:val="24"/>
          <w:szCs w:val="24"/>
        </w:rPr>
        <w:t xml:space="preserve"> </w:t>
      </w:r>
      <w:r w:rsidR="000E3502">
        <w:rPr>
          <w:b/>
          <w:bCs/>
          <w:sz w:val="24"/>
          <w:szCs w:val="24"/>
        </w:rPr>
        <w:t xml:space="preserve">was prepared </w:t>
      </w:r>
      <w:r w:rsidR="006471DC">
        <w:rPr>
          <w:b/>
          <w:bCs/>
          <w:sz w:val="24"/>
          <w:szCs w:val="24"/>
        </w:rPr>
        <w:t>by a technical team</w:t>
      </w:r>
      <w:proofErr w:type="gramEnd"/>
      <w:r w:rsidR="006471DC">
        <w:rPr>
          <w:b/>
          <w:bCs/>
          <w:sz w:val="24"/>
          <w:szCs w:val="24"/>
        </w:rPr>
        <w:t xml:space="preserve"> from PCBS with </w:t>
      </w:r>
      <w:r w:rsidR="00413583">
        <w:rPr>
          <w:b/>
          <w:bCs/>
          <w:sz w:val="24"/>
          <w:szCs w:val="24"/>
        </w:rPr>
        <w:t xml:space="preserve">a </w:t>
      </w:r>
      <w:r w:rsidR="006471DC">
        <w:rPr>
          <w:b/>
          <w:bCs/>
          <w:sz w:val="24"/>
          <w:szCs w:val="24"/>
        </w:rPr>
        <w:t xml:space="preserve">joint funding from State of Palestine and the Core Funding Group (CFG) for </w:t>
      </w:r>
      <w:r w:rsidR="006A3931">
        <w:rPr>
          <w:b/>
          <w:bCs/>
          <w:sz w:val="24"/>
          <w:szCs w:val="24"/>
        </w:rPr>
        <w:t>2020</w:t>
      </w:r>
      <w:r w:rsidR="006471DC">
        <w:rPr>
          <w:b/>
          <w:bCs/>
          <w:sz w:val="24"/>
          <w:szCs w:val="24"/>
        </w:rPr>
        <w:t xml:space="preserve">, represented by the Representative Office of Norway to Palestine. </w:t>
      </w:r>
    </w:p>
    <w:p w:rsidR="006471DC" w:rsidRDefault="006471DC" w:rsidP="006471DC">
      <w:pPr>
        <w:jc w:val="lowKashida"/>
        <w:rPr>
          <w:b/>
          <w:bCs/>
          <w:sz w:val="24"/>
          <w:szCs w:val="24"/>
        </w:rPr>
      </w:pPr>
    </w:p>
    <w:p w:rsidR="00D2378A" w:rsidRPr="006471DC" w:rsidRDefault="006471DC" w:rsidP="0039734F">
      <w:pPr>
        <w:jc w:val="lowKashida"/>
        <w:rPr>
          <w:b/>
          <w:bCs/>
          <w:sz w:val="24"/>
          <w:szCs w:val="24"/>
        </w:rPr>
      </w:pPr>
      <w:r w:rsidRPr="00C954BB">
        <w:rPr>
          <w:b/>
          <w:bCs/>
          <w:color w:val="000000" w:themeColor="text1"/>
          <w:sz w:val="24"/>
          <w:szCs w:val="24"/>
        </w:rPr>
        <w:t xml:space="preserve">Moreover, PCBS very much appreciates the distinctive efforts of the Core Funding Group (CFG) for their valuable contribution </w:t>
      </w:r>
      <w:r>
        <w:rPr>
          <w:b/>
          <w:bCs/>
          <w:color w:val="000000" w:themeColor="text1"/>
          <w:sz w:val="24"/>
          <w:szCs w:val="24"/>
        </w:rPr>
        <w:t>to</w:t>
      </w:r>
      <w:r w:rsidRPr="00C954BB">
        <w:rPr>
          <w:b/>
          <w:bCs/>
          <w:color w:val="000000" w:themeColor="text1"/>
          <w:sz w:val="24"/>
          <w:szCs w:val="24"/>
        </w:rPr>
        <w:t xml:space="preserve"> </w:t>
      </w:r>
      <w:r w:rsidR="0039734F">
        <w:rPr>
          <w:b/>
          <w:bCs/>
          <w:sz w:val="24"/>
          <w:szCs w:val="24"/>
        </w:rPr>
        <w:t>prepare</w:t>
      </w:r>
      <w:r w:rsidR="0039734F" w:rsidRPr="00C603A9">
        <w:rPr>
          <w:b/>
          <w:bCs/>
          <w:sz w:val="24"/>
          <w:szCs w:val="24"/>
        </w:rPr>
        <w:t xml:space="preserve"> </w:t>
      </w:r>
      <w:r w:rsidRPr="00C954BB">
        <w:rPr>
          <w:b/>
          <w:bCs/>
          <w:color w:val="000000" w:themeColor="text1"/>
          <w:sz w:val="24"/>
          <w:szCs w:val="24"/>
        </w:rPr>
        <w:t xml:space="preserve">this </w:t>
      </w:r>
      <w:r w:rsidR="0039734F" w:rsidRPr="00C603A9">
        <w:rPr>
          <w:b/>
          <w:bCs/>
          <w:sz w:val="24"/>
          <w:szCs w:val="24"/>
        </w:rPr>
        <w:t>report</w:t>
      </w:r>
      <w:r w:rsidRPr="00C954BB">
        <w:rPr>
          <w:b/>
          <w:bCs/>
          <w:color w:val="000000" w:themeColor="text1"/>
          <w:sz w:val="24"/>
          <w:szCs w:val="24"/>
        </w:rPr>
        <w: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lastRenderedPageBreak/>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Pr="00C603A9" w:rsidRDefault="000658F1" w:rsidP="000658F1">
      <w:pPr>
        <w:ind w:left="709"/>
        <w:rPr>
          <w:rFonts w:cs="Simplified Arabic"/>
          <w:sz w:val="24"/>
          <w:szCs w:val="24"/>
          <w:rtl/>
          <w:lang w:val="en-GB"/>
        </w:rPr>
      </w:pPr>
      <w:r w:rsidRPr="00C603A9">
        <w:rPr>
          <w:sz w:val="24"/>
          <w:szCs w:val="24"/>
        </w:rPr>
        <w:t xml:space="preserve">Mohammed </w:t>
      </w:r>
      <w:proofErr w:type="spellStart"/>
      <w:r w:rsidRPr="00C603A9">
        <w:rPr>
          <w:sz w:val="24"/>
          <w:szCs w:val="24"/>
        </w:rPr>
        <w:t>Al-Masri</w:t>
      </w:r>
      <w:proofErr w:type="spellEnd"/>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5014BC" w:rsidRDefault="00E848DC" w:rsidP="00B04CDC">
      <w:pPr>
        <w:ind w:left="709"/>
        <w:rPr>
          <w:sz w:val="24"/>
          <w:szCs w:val="24"/>
        </w:rPr>
      </w:pPr>
      <w:r w:rsidRPr="00E848DC">
        <w:rPr>
          <w:sz w:val="24"/>
          <w:szCs w:val="24"/>
        </w:rPr>
        <w:t>Imtethal Shuaibi</w:t>
      </w:r>
      <w:r w:rsidR="00595E20" w:rsidRPr="00B04CDC">
        <w:rPr>
          <w:sz w:val="24"/>
          <w:szCs w:val="24"/>
        </w:rPr>
        <w:tab/>
      </w:r>
    </w:p>
    <w:p w:rsidR="00B04CDC" w:rsidRPr="00B04CDC" w:rsidRDefault="00B04CDC" w:rsidP="00B04CDC">
      <w:pPr>
        <w:ind w:left="709"/>
        <w:rPr>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4D77F6" w:rsidRPr="004D77F6" w:rsidRDefault="00B04CDC" w:rsidP="00B04CDC">
      <w:pPr>
        <w:ind w:left="709"/>
        <w:rPr>
          <w:sz w:val="24"/>
          <w:szCs w:val="24"/>
        </w:rPr>
      </w:pPr>
      <w:r w:rsidRPr="00B04CDC">
        <w:rPr>
          <w:sz w:val="24"/>
          <w:szCs w:val="24"/>
        </w:rPr>
        <w:t>M</w:t>
      </w:r>
      <w:r>
        <w:rPr>
          <w:sz w:val="24"/>
          <w:szCs w:val="24"/>
        </w:rPr>
        <w:t>ohammad</w:t>
      </w:r>
      <w:r w:rsidRPr="00B04CDC">
        <w:rPr>
          <w:sz w:val="24"/>
          <w:szCs w:val="24"/>
        </w:rPr>
        <w:t xml:space="preserve"> S</w:t>
      </w:r>
      <w:r>
        <w:rPr>
          <w:sz w:val="24"/>
          <w:szCs w:val="24"/>
        </w:rPr>
        <w:t>haheen</w:t>
      </w:r>
    </w:p>
    <w:p w:rsidR="004D77F6" w:rsidRPr="004D77F6" w:rsidRDefault="00B04CDC" w:rsidP="004D77F6">
      <w:pPr>
        <w:ind w:left="709"/>
        <w:rPr>
          <w:sz w:val="24"/>
          <w:szCs w:val="24"/>
        </w:rPr>
      </w:pPr>
      <w:proofErr w:type="gramStart"/>
      <w:r w:rsidRPr="00B04CDC">
        <w:rPr>
          <w:sz w:val="24"/>
          <w:szCs w:val="24"/>
        </w:rPr>
        <w:t>Abdullah  Azzam</w:t>
      </w:r>
      <w:proofErr w:type="gramEnd"/>
    </w:p>
    <w:p w:rsidR="00AD6A27" w:rsidRDefault="00AD6A27" w:rsidP="00AD6A27">
      <w:pPr>
        <w:ind w:left="709"/>
        <w:rPr>
          <w:sz w:val="24"/>
          <w:szCs w:val="24"/>
        </w:rPr>
      </w:pPr>
      <w:r w:rsidRPr="00AD6A27">
        <w:rPr>
          <w:sz w:val="24"/>
          <w:szCs w:val="24"/>
        </w:rPr>
        <w:t>M</w:t>
      </w:r>
      <w:r>
        <w:rPr>
          <w:sz w:val="24"/>
          <w:szCs w:val="24"/>
        </w:rPr>
        <w:t>ahmoud</w:t>
      </w:r>
      <w:r w:rsidRPr="00AD6A27">
        <w:rPr>
          <w:sz w:val="24"/>
          <w:szCs w:val="24"/>
        </w:rPr>
        <w:t xml:space="preserve"> </w:t>
      </w:r>
      <w:proofErr w:type="spellStart"/>
      <w:r w:rsidRPr="00AD6A27">
        <w:rPr>
          <w:sz w:val="24"/>
          <w:szCs w:val="24"/>
        </w:rPr>
        <w:t>A</w:t>
      </w:r>
      <w:r>
        <w:rPr>
          <w:sz w:val="24"/>
          <w:szCs w:val="24"/>
        </w:rPr>
        <w:t>bd</w:t>
      </w:r>
      <w:r w:rsidRPr="00AD6A27">
        <w:rPr>
          <w:sz w:val="24"/>
          <w:szCs w:val="24"/>
        </w:rPr>
        <w:t>-A</w:t>
      </w:r>
      <w:r>
        <w:rPr>
          <w:sz w:val="24"/>
          <w:szCs w:val="24"/>
        </w:rPr>
        <w:t>lrahman</w:t>
      </w:r>
      <w:proofErr w:type="spellEnd"/>
    </w:p>
    <w:p w:rsidR="00782458" w:rsidRPr="004B3890" w:rsidRDefault="00782458" w:rsidP="000658F1">
      <w:pPr>
        <w:ind w:left="709"/>
        <w:rPr>
          <w:rFonts w:cs="Simplified Arabic"/>
          <w:sz w:val="22"/>
          <w:szCs w:val="22"/>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551CFA" w:rsidRPr="00551CFA" w:rsidRDefault="00551CFA" w:rsidP="00551CFA">
      <w:pPr>
        <w:ind w:left="709"/>
        <w:rPr>
          <w:sz w:val="24"/>
          <w:szCs w:val="24"/>
        </w:rPr>
      </w:pPr>
      <w:r w:rsidRPr="00551CFA">
        <w:rPr>
          <w:sz w:val="24"/>
          <w:szCs w:val="24"/>
        </w:rPr>
        <w:t xml:space="preserve">Khalid </w:t>
      </w:r>
      <w:proofErr w:type="spellStart"/>
      <w:r w:rsidRPr="00551CFA">
        <w:rPr>
          <w:sz w:val="24"/>
          <w:szCs w:val="24"/>
        </w:rPr>
        <w:t>Abu-Khalid</w:t>
      </w:r>
      <w:proofErr w:type="spellEnd"/>
      <w:r w:rsidRPr="00551CFA">
        <w:rPr>
          <w:sz w:val="24"/>
          <w:szCs w:val="24"/>
        </w:rPr>
        <w:t xml:space="preserve"> </w:t>
      </w:r>
    </w:p>
    <w:p w:rsidR="00551CFA" w:rsidRPr="00551CFA" w:rsidRDefault="00551CFA" w:rsidP="00551CFA">
      <w:pPr>
        <w:ind w:left="709"/>
        <w:rPr>
          <w:sz w:val="24"/>
          <w:szCs w:val="24"/>
        </w:rPr>
      </w:pPr>
      <w:proofErr w:type="spellStart"/>
      <w:r w:rsidRPr="00551CFA">
        <w:rPr>
          <w:sz w:val="24"/>
          <w:szCs w:val="24"/>
        </w:rPr>
        <w:t>Inaya</w:t>
      </w:r>
      <w:proofErr w:type="spellEnd"/>
      <w:r w:rsidRPr="00551CFA">
        <w:rPr>
          <w:sz w:val="24"/>
          <w:szCs w:val="24"/>
        </w:rPr>
        <w:t xml:space="preserve"> </w:t>
      </w:r>
      <w:proofErr w:type="spellStart"/>
      <w:r w:rsidRPr="00551CFA">
        <w:rPr>
          <w:sz w:val="24"/>
          <w:szCs w:val="24"/>
        </w:rPr>
        <w:t>Zidan</w:t>
      </w:r>
      <w:proofErr w:type="spellEnd"/>
    </w:p>
    <w:p w:rsidR="00AD6A27" w:rsidRDefault="00AD6A27" w:rsidP="00AD6A27">
      <w:pPr>
        <w:ind w:left="709"/>
        <w:rPr>
          <w:rFonts w:cs="Simplified Arabic"/>
          <w:sz w:val="24"/>
          <w:szCs w:val="24"/>
          <w:lang w:eastAsia="de-AT" w:bidi="ar-JO"/>
        </w:rPr>
      </w:pPr>
    </w:p>
    <w:p w:rsidR="000658F1" w:rsidRPr="00C603A9" w:rsidRDefault="000658F1" w:rsidP="000658F1">
      <w:pPr>
        <w:ind w:left="709"/>
        <w:rPr>
          <w:sz w:val="24"/>
          <w:szCs w:val="24"/>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551CFA" w:rsidRDefault="00551CFA" w:rsidP="000658F1">
      <w:pPr>
        <w:ind w:left="709"/>
        <w:rPr>
          <w:sz w:val="24"/>
          <w:szCs w:val="24"/>
        </w:rPr>
      </w:pPr>
      <w:proofErr w:type="spellStart"/>
      <w:r w:rsidRPr="00551CFA">
        <w:rPr>
          <w:rFonts w:cs="Times New Roman"/>
          <w:sz w:val="24"/>
          <w:szCs w:val="24"/>
          <w:lang w:val="en-GB"/>
        </w:rPr>
        <w:t>Dr.</w:t>
      </w:r>
      <w:proofErr w:type="spellEnd"/>
      <w:r w:rsidRPr="00551CFA">
        <w:rPr>
          <w:rFonts w:cs="Times New Roman"/>
          <w:sz w:val="24"/>
          <w:szCs w:val="24"/>
          <w:lang w:val="en-GB"/>
        </w:rPr>
        <w:t xml:space="preserve"> Ola </w:t>
      </w:r>
      <w:r w:rsidR="000658F1" w:rsidRPr="00551CFA">
        <w:rPr>
          <w:sz w:val="24"/>
          <w:szCs w:val="24"/>
        </w:rPr>
        <w:t xml:space="preserve">Awad                         </w:t>
      </w:r>
      <w:r w:rsidR="000658F1" w:rsidRPr="00551CFA">
        <w:rPr>
          <w:sz w:val="24"/>
          <w:szCs w:val="24"/>
        </w:rPr>
        <w:tab/>
        <w:t xml:space="preserve">          President</w:t>
      </w:r>
      <w:r w:rsidR="005E1E3C" w:rsidRPr="00551CFA">
        <w:rPr>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occupation sites are not consistent with what </w:t>
      </w:r>
      <w:proofErr w:type="gramStart"/>
      <w:r w:rsidRPr="000A6E15">
        <w:rPr>
          <w:sz w:val="24"/>
          <w:szCs w:val="24"/>
        </w:rPr>
        <w:t>is reported</w:t>
      </w:r>
      <w:proofErr w:type="gramEnd"/>
      <w:r w:rsidRPr="000A6E15">
        <w:rPr>
          <w:sz w:val="24"/>
          <w:szCs w:val="24"/>
        </w:rPr>
        <w:t xml:space="preserve">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600181">
      <w:pPr>
        <w:pStyle w:val="ListParagraph"/>
        <w:numPr>
          <w:ilvl w:val="0"/>
          <w:numId w:val="12"/>
        </w:numPr>
        <w:ind w:left="360"/>
        <w:jc w:val="lowKashida"/>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B6398E" w:rsidRPr="000A6E15">
        <w:rPr>
          <w:sz w:val="24"/>
          <w:szCs w:val="24"/>
        </w:rPr>
        <w:t>t</w:t>
      </w:r>
      <w:r w:rsidR="00D63CDC" w:rsidRPr="000A6E15">
        <w:rPr>
          <w:sz w:val="24"/>
          <w:szCs w:val="24"/>
        </w:rPr>
        <w:t>hree</w:t>
      </w:r>
      <w:r w:rsidRPr="000A6E15">
        <w:rPr>
          <w:sz w:val="24"/>
          <w:szCs w:val="24"/>
        </w:rPr>
        <w:t xml:space="preserve"> settlements appeared in this report which are located </w:t>
      </w:r>
      <w:r w:rsidR="003D325E" w:rsidRPr="000A6E15">
        <w:rPr>
          <w:sz w:val="24"/>
          <w:szCs w:val="24"/>
        </w:rPr>
        <w:t>in Jerusalem</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00600181">
        <w:rPr>
          <w:sz w:val="24"/>
          <w:szCs w:val="24"/>
        </w:rPr>
        <w:t>s</w:t>
      </w:r>
      <w:r w:rsidRPr="000A6E15">
        <w:rPr>
          <w:sz w:val="24"/>
          <w:szCs w:val="24"/>
        </w:rPr>
        <w:t xml:space="preserve">. </w:t>
      </w:r>
    </w:p>
    <w:p w:rsidR="002900B6" w:rsidRPr="000A6E15" w:rsidRDefault="002900B6" w:rsidP="00B6398E">
      <w:pPr>
        <w:jc w:val="both"/>
        <w:rPr>
          <w:sz w:val="24"/>
          <w:szCs w:val="24"/>
        </w:rPr>
      </w:pP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D36F62" w:rsidRPr="000A6E15" w:rsidRDefault="00D36F62" w:rsidP="00B6398E">
      <w:pPr>
        <w:pStyle w:val="BodyText"/>
        <w:rPr>
          <w:rFonts w:cs="Times New Roman"/>
          <w:szCs w:val="24"/>
        </w:rPr>
      </w:pP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0B7819" w:rsidRDefault="000658F1" w:rsidP="000658F1">
      <w:pPr>
        <w:rPr>
          <w:b/>
          <w:bCs/>
          <w:sz w:val="28"/>
          <w:szCs w:val="28"/>
        </w:rPr>
      </w:pPr>
    </w:p>
    <w:tbl>
      <w:tblPr>
        <w:tblW w:w="9129" w:type="dxa"/>
        <w:jc w:val="center"/>
        <w:tblLayout w:type="fixed"/>
        <w:tblLook w:val="0000" w:firstRow="0" w:lastRow="0" w:firstColumn="0" w:lastColumn="0" w:noHBand="0" w:noVBand="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B83961" w:rsidRDefault="00BC1C6F" w:rsidP="00B83961">
            <w:pPr>
              <w:pStyle w:val="Heading1"/>
              <w:ind w:left="-16"/>
              <w:jc w:val="left"/>
              <w:rPr>
                <w:szCs w:val="24"/>
                <w:lang w:eastAsia="en-GB"/>
              </w:rPr>
            </w:pPr>
            <w:r>
              <w:rPr>
                <w:szCs w:val="24"/>
                <w:lang w:val="en-GB" w:eastAsia="en-GB"/>
              </w:rPr>
              <w:t>2</w:t>
            </w:r>
            <w:r w:rsidR="00556D30" w:rsidRPr="00C603A9">
              <w:rPr>
                <w:szCs w:val="24"/>
                <w:lang w:val="en-GB" w:eastAsia="en-GB"/>
              </w:rPr>
              <w:t xml:space="preserve">.3 </w:t>
            </w:r>
            <w:r w:rsidR="00067F02" w:rsidRPr="00C603A9">
              <w:t>Stages of Settlement</w:t>
            </w:r>
            <w:r w:rsidR="00B83961" w:rsidRPr="00B83961">
              <w:t xml:space="preserve"> </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272772" w:rsidP="00272772">
            <w:pPr>
              <w:pStyle w:val="Heading1"/>
              <w:ind w:left="-16"/>
              <w:jc w:val="left"/>
              <w:rPr>
                <w:szCs w:val="24"/>
                <w:lang w:eastAsia="en-GB"/>
              </w:rPr>
            </w:pPr>
            <w:proofErr w:type="gramStart"/>
            <w:r w:rsidRPr="00272772">
              <w:rPr>
                <w:szCs w:val="24"/>
                <w:lang w:val="en-GB" w:eastAsia="en-GB"/>
              </w:rPr>
              <w:t>2.6  Geographic</w:t>
            </w:r>
            <w:r w:rsidRPr="00272772">
              <w:rPr>
                <w:szCs w:val="24"/>
                <w:lang w:eastAsia="en-GB"/>
              </w:rPr>
              <w:t>al</w:t>
            </w:r>
            <w:proofErr w:type="gramEnd"/>
            <w:r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proofErr w:type="gramStart"/>
            <w:r>
              <w:rPr>
                <w:szCs w:val="24"/>
                <w:lang w:val="en-GB" w:eastAsia="en-GB"/>
              </w:rPr>
              <w:t>3</w:t>
            </w:r>
            <w:r w:rsidRPr="00C603A9">
              <w:rPr>
                <w:szCs w:val="24"/>
                <w:lang w:val="en-GB" w:eastAsia="en-GB"/>
              </w:rPr>
              <w:t xml:space="preserve">.1 </w:t>
            </w:r>
            <w:r w:rsidRPr="00C603A9">
              <w:rPr>
                <w:szCs w:val="24"/>
                <w:lang w:eastAsia="en-GB"/>
              </w:rPr>
              <w:t xml:space="preserve"> </w:t>
            </w:r>
            <w:r>
              <w:rPr>
                <w:szCs w:val="24"/>
                <w:lang w:val="en-GB" w:eastAsia="en-GB"/>
              </w:rPr>
              <w:t>Objectives</w:t>
            </w:r>
            <w:proofErr w:type="gramEnd"/>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proofErr w:type="gramStart"/>
            <w:r>
              <w:rPr>
                <w:szCs w:val="24"/>
                <w:lang w:val="en-GB" w:eastAsia="en-GB"/>
              </w:rPr>
              <w:t>3</w:t>
            </w:r>
            <w:r w:rsidRPr="00C603A9">
              <w:rPr>
                <w:szCs w:val="24"/>
                <w:lang w:val="en-GB" w:eastAsia="en-GB"/>
              </w:rPr>
              <w:t>.2  Data</w:t>
            </w:r>
            <w:proofErr w:type="gramEnd"/>
            <w:r w:rsidRPr="00C603A9">
              <w:rPr>
                <w:szCs w:val="24"/>
                <w:lang w:val="en-GB" w:eastAsia="en-GB"/>
              </w:rPr>
              <w:t xml:space="preserve">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proofErr w:type="gramStart"/>
            <w:r>
              <w:rPr>
                <w:szCs w:val="24"/>
                <w:lang w:val="en-GB" w:eastAsia="en-GB"/>
              </w:rPr>
              <w:t>4</w:t>
            </w:r>
            <w:r w:rsidR="00272772" w:rsidRPr="00C603A9">
              <w:rPr>
                <w:szCs w:val="24"/>
                <w:lang w:val="en-GB" w:eastAsia="en-GB"/>
              </w:rPr>
              <w:t>.</w:t>
            </w:r>
            <w:r>
              <w:rPr>
                <w:szCs w:val="24"/>
                <w:lang w:val="en-GB" w:eastAsia="en-GB"/>
              </w:rPr>
              <w:t>1</w:t>
            </w:r>
            <w:r w:rsidR="00272772" w:rsidRPr="00C603A9">
              <w:rPr>
                <w:szCs w:val="24"/>
                <w:lang w:val="en-GB" w:eastAsia="en-GB"/>
              </w:rPr>
              <w:t xml:space="preserve">  Data</w:t>
            </w:r>
            <w:proofErr w:type="gramEnd"/>
            <w:r w:rsidR="00272772" w:rsidRPr="00C603A9">
              <w:rPr>
                <w:szCs w:val="24"/>
                <w:lang w:val="en-GB" w:eastAsia="en-GB"/>
              </w:rPr>
              <w:t xml:space="preserve">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proofErr w:type="gramStart"/>
            <w:r>
              <w:rPr>
                <w:szCs w:val="24"/>
                <w:lang w:val="en-GB" w:eastAsia="en-GB"/>
              </w:rPr>
              <w:t>4</w:t>
            </w:r>
            <w:r w:rsidR="00272772" w:rsidRPr="00C603A9">
              <w:rPr>
                <w:szCs w:val="24"/>
                <w:lang w:val="en-GB" w:eastAsia="en-GB"/>
              </w:rPr>
              <w:t>.</w:t>
            </w:r>
            <w:r>
              <w:rPr>
                <w:szCs w:val="24"/>
                <w:lang w:val="en-GB" w:eastAsia="en-GB"/>
              </w:rPr>
              <w:t>2</w:t>
            </w:r>
            <w:r w:rsidR="00272772" w:rsidRPr="00C603A9">
              <w:rPr>
                <w:szCs w:val="24"/>
                <w:lang w:val="en-GB" w:eastAsia="en-GB"/>
              </w:rPr>
              <w:t xml:space="preserve">  </w:t>
            </w:r>
            <w:r w:rsidR="00272772">
              <w:rPr>
                <w:szCs w:val="24"/>
                <w:lang w:val="en-GB" w:eastAsia="en-GB"/>
              </w:rPr>
              <w:t>Comparability</w:t>
            </w:r>
            <w:proofErr w:type="gramEnd"/>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0B7819" w:rsidRDefault="001A3F81" w:rsidP="001A3F81">
      <w:pPr>
        <w:rPr>
          <w:sz w:val="24"/>
          <w:szCs w:val="24"/>
        </w:rPr>
      </w:pPr>
    </w:p>
    <w:tbl>
      <w:tblPr>
        <w:tblW w:w="0" w:type="auto"/>
        <w:jc w:val="center"/>
        <w:tblLook w:val="0000" w:firstRow="0" w:lastRow="0" w:firstColumn="0" w:lastColumn="0" w:noHBand="0" w:noVBand="0"/>
      </w:tblPr>
      <w:tblGrid>
        <w:gridCol w:w="1224"/>
        <w:gridCol w:w="7003"/>
        <w:gridCol w:w="846"/>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600181">
            <w:pPr>
              <w:spacing w:before="100" w:beforeAutospacing="1"/>
              <w:jc w:val="lowKashida"/>
              <w:rPr>
                <w:rFonts w:cs="Times New Roman"/>
                <w:sz w:val="24"/>
                <w:szCs w:val="24"/>
              </w:rPr>
            </w:pPr>
            <w:r w:rsidRPr="00C603A9">
              <w:rPr>
                <w:rFonts w:cs="Times New Roman"/>
                <w:sz w:val="24"/>
                <w:szCs w:val="24"/>
              </w:rPr>
              <w:t xml:space="preserve">Selected Indicators </w:t>
            </w:r>
            <w:r w:rsidR="00600181">
              <w:rPr>
                <w:rFonts w:cs="Times New Roman"/>
                <w:sz w:val="24"/>
                <w:szCs w:val="24"/>
              </w:rPr>
              <w:t>on</w:t>
            </w:r>
            <w:r w:rsidRPr="00C603A9">
              <w:rPr>
                <w:rFonts w:cs="Times New Roman"/>
                <w:sz w:val="24"/>
                <w:szCs w:val="24"/>
              </w:rPr>
              <w:t xml:space="preserve">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A91713">
            <w:pPr>
              <w:spacing w:before="100" w:beforeAutospacing="1"/>
              <w:jc w:val="lowKashida"/>
              <w:rPr>
                <w:rFonts w:cs="Times New Roman"/>
                <w:sz w:val="24"/>
                <w:szCs w:val="24"/>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Classification,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w:t>
            </w:r>
            <w:r w:rsidR="003B4725" w:rsidRPr="003E046E">
              <w:rPr>
                <w:rFonts w:cs="Times New Roman"/>
                <w:sz w:val="24"/>
                <w:szCs w:val="24"/>
              </w:rPr>
              <w:t>Israeli</w:t>
            </w:r>
            <w:r w:rsidR="003B4725" w:rsidRPr="00C603A9">
              <w:rPr>
                <w:b/>
                <w:bCs/>
                <w:sz w:val="40"/>
                <w:szCs w:val="40"/>
              </w:rPr>
              <w:t xml:space="preserve"> </w:t>
            </w:r>
            <w:r w:rsidR="003B4725" w:rsidRPr="00C603A9">
              <w:rPr>
                <w:rFonts w:cs="Times New Roman"/>
                <w:sz w:val="24"/>
                <w:szCs w:val="24"/>
              </w:rPr>
              <w:t xml:space="preserve">Settlements </w:t>
            </w:r>
            <w:r w:rsidRPr="00C603A9">
              <w:rPr>
                <w:rFonts w:cs="Times New Roman"/>
                <w:sz w:val="24"/>
                <w:szCs w:val="24"/>
              </w:rPr>
              <w:t xml:space="preserve">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Region, 1986-</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A91713">
            <w:pPr>
              <w:spacing w:before="100" w:beforeAutospacing="1"/>
              <w:jc w:val="lowKashida"/>
              <w:rPr>
                <w:rFonts w:cs="Times New Roman"/>
                <w:sz w:val="24"/>
                <w:szCs w:val="24"/>
                <w:rtl/>
                <w:lang w:val="en-GB"/>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Type of Settlement,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Population </w:t>
            </w:r>
            <w:r w:rsidR="0034215B" w:rsidRPr="00C603A9">
              <w:rPr>
                <w:rFonts w:cs="Times New Roman"/>
                <w:sz w:val="24"/>
                <w:szCs w:val="24"/>
              </w:rPr>
              <w:t xml:space="preserve">Size </w:t>
            </w:r>
            <w:r w:rsidRPr="00C603A9">
              <w:rPr>
                <w:rFonts w:cs="Times New Roman"/>
                <w:sz w:val="24"/>
                <w:szCs w:val="24"/>
              </w:rPr>
              <w:t>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A91713">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w:t>
            </w:r>
            <w:r w:rsidR="0034215B" w:rsidRPr="00C603A9">
              <w:rPr>
                <w:rFonts w:cs="Times New Roman"/>
                <w:sz w:val="24"/>
                <w:szCs w:val="24"/>
              </w:rPr>
              <w:t>Population Size Group</w:t>
            </w:r>
            <w:r w:rsidR="0034215B">
              <w:rPr>
                <w:rFonts w:cs="Times New Roman"/>
                <w:sz w:val="24"/>
                <w:szCs w:val="24"/>
              </w:rPr>
              <w:t>s</w:t>
            </w:r>
            <w:r w:rsidRPr="00C603A9">
              <w:rPr>
                <w:rFonts w:cs="Times New Roman"/>
                <w:sz w:val="24"/>
                <w:szCs w:val="24"/>
              </w:rPr>
              <w:t xml:space="preserve">,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A91713">
            <w:pPr>
              <w:spacing w:before="100" w:beforeAutospacing="1"/>
              <w:jc w:val="lowKashida"/>
              <w:rPr>
                <w:rFonts w:cs="Times New Roman"/>
                <w:sz w:val="24"/>
                <w:szCs w:val="24"/>
                <w:rtl/>
                <w:lang w:val="en-GB"/>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Regional Council,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0D61D3" w:rsidRDefault="00972AA9" w:rsidP="00A91713">
            <w:pPr>
              <w:spacing w:before="100" w:beforeAutospacing="1"/>
              <w:jc w:val="lowKashida"/>
              <w:rPr>
                <w:rFonts w:cs="Times New Roman"/>
                <w:sz w:val="24"/>
                <w:szCs w:val="24"/>
                <w:rtl/>
              </w:rPr>
            </w:pPr>
            <w:r w:rsidRPr="00C603A9">
              <w:rPr>
                <w:rFonts w:cs="Times New Roman"/>
                <w:sz w:val="24"/>
                <w:szCs w:val="24"/>
              </w:rPr>
              <w:t xml:space="preserve">Number of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0D61D3">
              <w:rPr>
                <w:rFonts w:cs="Times New Roman"/>
                <w:sz w:val="24"/>
                <w:szCs w:val="24"/>
              </w:rPr>
              <w:t>201</w:t>
            </w:r>
            <w:r w:rsidR="00A91713">
              <w:rPr>
                <w:rFonts w:cs="Times New Roman"/>
                <w:sz w:val="24"/>
                <w:szCs w:val="24"/>
              </w:rPr>
              <w:t>9</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0D61D3" w:rsidRDefault="00257743" w:rsidP="00A91713">
            <w:pPr>
              <w:spacing w:before="100" w:beforeAutospacing="1"/>
              <w:jc w:val="lowKashida"/>
              <w:rPr>
                <w:rFonts w:cs="Times New Roman"/>
                <w:sz w:val="24"/>
                <w:szCs w:val="24"/>
                <w:rtl/>
              </w:rPr>
            </w:pPr>
            <w:r w:rsidRPr="00C603A9">
              <w:rPr>
                <w:rFonts w:cs="Times New Roman"/>
                <w:sz w:val="24"/>
                <w:szCs w:val="24"/>
              </w:rPr>
              <w:t xml:space="preserve">Number of Settlers in the Rural </w:t>
            </w:r>
            <w:r w:rsidR="003E046E" w:rsidRPr="003E046E">
              <w:rPr>
                <w:rFonts w:cs="Times New Roman"/>
                <w:sz w:val="24"/>
                <w:szCs w:val="24"/>
              </w:rPr>
              <w:t>Israeli</w:t>
            </w:r>
            <w:r w:rsidR="003E046E" w:rsidRPr="00C603A9">
              <w:rPr>
                <w:b/>
                <w:bCs/>
                <w:sz w:val="40"/>
                <w:szCs w:val="40"/>
              </w:rPr>
              <w:t xml:space="preserve"> </w:t>
            </w:r>
            <w:r w:rsidRPr="00C603A9">
              <w:rPr>
                <w:rFonts w:cs="Times New Roman"/>
                <w:sz w:val="24"/>
                <w:szCs w:val="24"/>
              </w:rPr>
              <w:t xml:space="preserve">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0D61D3">
              <w:rPr>
                <w:rFonts w:cs="Times New Roman"/>
                <w:sz w:val="24"/>
                <w:szCs w:val="24"/>
              </w:rPr>
              <w:t>201</w:t>
            </w:r>
            <w:r w:rsidR="00A91713">
              <w:rPr>
                <w:rFonts w:cs="Times New Roman"/>
                <w:sz w:val="24"/>
                <w:szCs w:val="24"/>
              </w:rPr>
              <w:t>9</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9A51D4">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rsidRPr="00C603A9">
        <w:t>cantonizing</w:t>
      </w:r>
      <w:proofErr w:type="spellEnd"/>
      <w:r w:rsidRPr="00C603A9">
        <w:t xml:space="preserve"> Palestinian communities.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A91713">
      <w:pPr>
        <w:pStyle w:val="BodyText2"/>
      </w:pPr>
      <w:r w:rsidRPr="00C603A9">
        <w:t>This report contains statistical data</w:t>
      </w:r>
      <w:r w:rsidR="00AA516D" w:rsidRPr="00C603A9">
        <w:t xml:space="preserve"> for the year</w:t>
      </w:r>
      <w:r w:rsidRPr="00C603A9">
        <w:t xml:space="preserve"> </w:t>
      </w:r>
      <w:r w:rsidR="00A91713">
        <w:t>2019</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600181">
      <w:pPr>
        <w:jc w:val="lowKashida"/>
        <w:rPr>
          <w:sz w:val="24"/>
          <w:szCs w:val="24"/>
        </w:rPr>
      </w:pPr>
      <w:r w:rsidRPr="00C603A9">
        <w:rPr>
          <w:sz w:val="24"/>
          <w:szCs w:val="24"/>
        </w:rPr>
        <w:t xml:space="preserve">This report </w:t>
      </w:r>
      <w:proofErr w:type="gramStart"/>
      <w:r w:rsidRPr="00C603A9">
        <w:rPr>
          <w:sz w:val="24"/>
          <w:szCs w:val="24"/>
        </w:rPr>
        <w:t>is divided</w:t>
      </w:r>
      <w:proofErr w:type="gramEnd"/>
      <w:r w:rsidRPr="00C603A9">
        <w:rPr>
          <w:sz w:val="24"/>
          <w:szCs w:val="24"/>
        </w:rPr>
        <w:t xml:space="preserve"> into </w:t>
      </w:r>
      <w:r w:rsidR="00600181">
        <w:rPr>
          <w:sz w:val="24"/>
          <w:szCs w:val="24"/>
        </w:rPr>
        <w:t>four</w:t>
      </w:r>
      <w:r w:rsidRPr="00C603A9">
        <w:rPr>
          <w:sz w:val="24"/>
          <w:szCs w:val="24"/>
        </w:rPr>
        <w:t xml:space="preserve"> chapters:  The first chapter contains </w:t>
      </w:r>
      <w:r w:rsidR="0007221C" w:rsidRPr="00C603A9">
        <w:rPr>
          <w:sz w:val="24"/>
          <w:szCs w:val="24"/>
        </w:rPr>
        <w:t xml:space="preserve">the </w:t>
      </w:r>
      <w:r w:rsidR="008E28F7" w:rsidRPr="008E28F7">
        <w:rPr>
          <w:sz w:val="24"/>
          <w:szCs w:val="24"/>
        </w:rPr>
        <w:t xml:space="preserve">concepts and terms </w:t>
      </w:r>
      <w:r w:rsidR="0007221C" w:rsidRPr="00C603A9">
        <w:rPr>
          <w:sz w:val="24"/>
          <w:szCs w:val="24"/>
        </w:rPr>
        <w:t>in this report</w:t>
      </w:r>
      <w:r w:rsidRPr="00C603A9">
        <w:rPr>
          <w:sz w:val="24"/>
          <w:szCs w:val="24"/>
        </w:rPr>
        <w:t xml:space="preserve">.  The second chapter </w:t>
      </w:r>
      <w:r w:rsidR="0007221C" w:rsidRPr="00C603A9">
        <w:rPr>
          <w:sz w:val="24"/>
          <w:szCs w:val="24"/>
        </w:rPr>
        <w:t>presents the main findings</w:t>
      </w:r>
      <w:r w:rsidR="00933336">
        <w:rPr>
          <w:sz w:val="24"/>
          <w:szCs w:val="24"/>
        </w:rPr>
        <w:t xml:space="preserve">. </w:t>
      </w:r>
      <w:r w:rsidRPr="00C603A9">
        <w:rPr>
          <w:sz w:val="24"/>
          <w:szCs w:val="24"/>
        </w:rPr>
        <w:t xml:space="preserve"> </w:t>
      </w:r>
      <w:r w:rsidR="00933336">
        <w:rPr>
          <w:sz w:val="24"/>
          <w:szCs w:val="24"/>
        </w:rPr>
        <w:t>T</w:t>
      </w:r>
      <w:r w:rsidRPr="00C603A9">
        <w:rPr>
          <w:sz w:val="24"/>
          <w:szCs w:val="24"/>
        </w:rPr>
        <w:t xml:space="preserve">he third chapter </w:t>
      </w:r>
      <w:r w:rsidR="00933336">
        <w:rPr>
          <w:sz w:val="24"/>
          <w:szCs w:val="24"/>
        </w:rPr>
        <w:t xml:space="preserve">explains the methodology.  The fourth </w:t>
      </w:r>
      <w:r w:rsidR="00933336" w:rsidRPr="00C603A9">
        <w:rPr>
          <w:sz w:val="24"/>
          <w:szCs w:val="24"/>
        </w:rPr>
        <w:t xml:space="preserve">chapter </w:t>
      </w:r>
      <w:r w:rsidR="00933336">
        <w:rPr>
          <w:sz w:val="24"/>
          <w:szCs w:val="24"/>
        </w:rPr>
        <w:t>explains the</w:t>
      </w:r>
      <w:r w:rsidR="00933336" w:rsidRPr="00C603A9">
        <w:rPr>
          <w:sz w:val="24"/>
          <w:szCs w:val="24"/>
        </w:rPr>
        <w:t xml:space="preserve"> </w:t>
      </w:r>
      <w:r w:rsidR="0007221C" w:rsidRPr="00C603A9">
        <w:rPr>
          <w:sz w:val="24"/>
          <w:szCs w:val="24"/>
        </w:rPr>
        <w:t>data quality</w:t>
      </w:r>
      <w:r w:rsidR="0007221C">
        <w:rPr>
          <w:sz w:val="24"/>
          <w:szCs w:val="24"/>
        </w:rPr>
        <w:t>.</w:t>
      </w:r>
    </w:p>
    <w:p w:rsidR="00743E10" w:rsidRPr="00C603A9" w:rsidRDefault="00933336" w:rsidP="00933336">
      <w:pPr>
        <w:tabs>
          <w:tab w:val="left" w:pos="7455"/>
        </w:tabs>
        <w:rPr>
          <w:sz w:val="24"/>
          <w:szCs w:val="24"/>
        </w:rPr>
      </w:pPr>
      <w:r>
        <w:rPr>
          <w:sz w:val="24"/>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firstRow="0" w:lastRow="0" w:firstColumn="0" w:lastColumn="0" w:noHBand="0" w:noVBand="0"/>
      </w:tblPr>
      <w:tblGrid>
        <w:gridCol w:w="3129"/>
        <w:gridCol w:w="2683"/>
        <w:gridCol w:w="3544"/>
      </w:tblGrid>
      <w:tr w:rsidR="00551CFA" w:rsidRPr="00C603A9">
        <w:trPr>
          <w:cantSplit/>
        </w:trPr>
        <w:tc>
          <w:tcPr>
            <w:tcW w:w="3129" w:type="dxa"/>
          </w:tcPr>
          <w:p w:rsidR="00551CFA" w:rsidRPr="005148F9" w:rsidRDefault="00551CFA" w:rsidP="00A91713">
            <w:pPr>
              <w:jc w:val="lowKashida"/>
              <w:rPr>
                <w:rFonts w:cs="Times New Roman"/>
                <w:b/>
                <w:bCs/>
                <w:sz w:val="24"/>
                <w:szCs w:val="24"/>
              </w:rPr>
            </w:pPr>
            <w:r>
              <w:rPr>
                <w:rFonts w:cs="Times New Roman"/>
                <w:b/>
                <w:bCs/>
                <w:sz w:val="24"/>
                <w:szCs w:val="24"/>
              </w:rPr>
              <w:t>November</w:t>
            </w:r>
            <w:r w:rsidRPr="005148F9">
              <w:rPr>
                <w:rFonts w:cs="Times New Roman"/>
                <w:b/>
                <w:bCs/>
                <w:sz w:val="24"/>
                <w:szCs w:val="24"/>
              </w:rPr>
              <w:t xml:space="preserve">, </w:t>
            </w:r>
            <w:r>
              <w:rPr>
                <w:rFonts w:cs="Times New Roman" w:hint="cs"/>
                <w:b/>
                <w:bCs/>
                <w:sz w:val="24"/>
                <w:szCs w:val="24"/>
                <w:rtl/>
              </w:rPr>
              <w:t>2020</w:t>
            </w:r>
          </w:p>
        </w:tc>
        <w:tc>
          <w:tcPr>
            <w:tcW w:w="2683" w:type="dxa"/>
          </w:tcPr>
          <w:p w:rsidR="00551CFA" w:rsidRPr="00C603A9" w:rsidRDefault="00551CFA">
            <w:pPr>
              <w:jc w:val="lowKashida"/>
              <w:rPr>
                <w:b/>
                <w:bCs/>
                <w:sz w:val="24"/>
              </w:rPr>
            </w:pPr>
          </w:p>
        </w:tc>
        <w:tc>
          <w:tcPr>
            <w:tcW w:w="3544" w:type="dxa"/>
            <w:vMerge w:val="restart"/>
          </w:tcPr>
          <w:p w:rsidR="00551CFA" w:rsidRPr="00B24E1B" w:rsidRDefault="00551CFA" w:rsidP="00551CFA">
            <w:pPr>
              <w:pStyle w:val="Heading8"/>
              <w:jc w:val="center"/>
              <w:rPr>
                <w:b w:val="0"/>
                <w:bCs w:val="0"/>
                <w:szCs w:val="24"/>
              </w:rPr>
            </w:pPr>
            <w:r>
              <w:rPr>
                <w:szCs w:val="24"/>
              </w:rPr>
              <w:t xml:space="preserve">Dr. </w:t>
            </w:r>
            <w:r w:rsidRPr="00B24E1B">
              <w:rPr>
                <w:szCs w:val="24"/>
              </w:rPr>
              <w:t>Ola Awad</w:t>
            </w:r>
          </w:p>
          <w:p w:rsidR="00551CFA" w:rsidRPr="00C603A9" w:rsidRDefault="00551CFA" w:rsidP="00551CFA">
            <w:pPr>
              <w:ind w:left="284" w:right="282"/>
              <w:jc w:val="center"/>
              <w:rPr>
                <w:b/>
                <w:bCs/>
                <w:sz w:val="24"/>
                <w:szCs w:val="24"/>
                <w:rtl/>
              </w:rPr>
            </w:pPr>
            <w:r w:rsidRPr="00B24E1B">
              <w:rPr>
                <w:b/>
                <w:bCs/>
                <w:sz w:val="24"/>
                <w:szCs w:val="28"/>
              </w:rPr>
              <w:t>President</w:t>
            </w:r>
            <w:r w:rsidRPr="00B24E1B">
              <w:rPr>
                <w:sz w:val="24"/>
                <w:szCs w:val="28"/>
              </w:rPr>
              <w:t xml:space="preserve"> </w:t>
            </w:r>
            <w:r w:rsidRPr="00B24E1B">
              <w:rPr>
                <w:b/>
                <w:bCs/>
                <w:sz w:val="24"/>
                <w:szCs w:val="28"/>
              </w:rPr>
              <w:t>of PCBS</w:t>
            </w:r>
          </w:p>
        </w:tc>
      </w:tr>
      <w:tr w:rsidR="00551CFA" w:rsidRPr="00C603A9">
        <w:trPr>
          <w:cantSplit/>
        </w:trPr>
        <w:tc>
          <w:tcPr>
            <w:tcW w:w="3129" w:type="dxa"/>
          </w:tcPr>
          <w:p w:rsidR="00551CFA" w:rsidRPr="00C603A9" w:rsidRDefault="00551CFA">
            <w:pPr>
              <w:jc w:val="lowKashida"/>
              <w:rPr>
                <w:b/>
                <w:bCs/>
              </w:rPr>
            </w:pPr>
          </w:p>
        </w:tc>
        <w:tc>
          <w:tcPr>
            <w:tcW w:w="2683" w:type="dxa"/>
          </w:tcPr>
          <w:p w:rsidR="00551CFA" w:rsidRPr="00C603A9" w:rsidRDefault="00551CFA">
            <w:pPr>
              <w:jc w:val="lowKashida"/>
              <w:rPr>
                <w:b/>
                <w:bCs/>
              </w:rPr>
            </w:pPr>
          </w:p>
        </w:tc>
        <w:tc>
          <w:tcPr>
            <w:tcW w:w="3544" w:type="dxa"/>
            <w:vMerge/>
          </w:tcPr>
          <w:p w:rsidR="00551CFA" w:rsidRPr="00C603A9" w:rsidRDefault="00551CFA">
            <w:pPr>
              <w:ind w:left="284" w:right="282"/>
              <w:jc w:val="center"/>
              <w:rPr>
                <w:b/>
                <w:bCs/>
                <w:sz w:val="24"/>
                <w:szCs w:val="24"/>
              </w:rPr>
            </w:pP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4"/>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w:t>
      </w:r>
      <w:proofErr w:type="gramStart"/>
      <w:r w:rsidRPr="00C603A9">
        <w:rPr>
          <w:sz w:val="24"/>
          <w:szCs w:val="24"/>
        </w:rPr>
        <w:t>is considered</w:t>
      </w:r>
      <w:proofErr w:type="gramEnd"/>
      <w:r w:rsidRPr="00C603A9">
        <w:rPr>
          <w:sz w:val="24"/>
          <w:szCs w:val="24"/>
        </w:rPr>
        <w:t xml:space="preserve">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Mainly has 20 or more inhabitants.</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Self-ruled.</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Not included in the formal borders of another locality.</w:t>
      </w:r>
    </w:p>
    <w:p w:rsidR="00BC1C6F" w:rsidRPr="00C603A9" w:rsidRDefault="00BC1C6F" w:rsidP="000B7819">
      <w:pPr>
        <w:numPr>
          <w:ilvl w:val="0"/>
          <w:numId w:val="3"/>
        </w:numPr>
        <w:tabs>
          <w:tab w:val="clear" w:pos="720"/>
        </w:tabs>
        <w:ind w:left="567" w:hanging="283"/>
        <w:jc w:val="lowKashida"/>
        <w:rPr>
          <w:sz w:val="24"/>
          <w:szCs w:val="24"/>
        </w:rPr>
      </w:pPr>
      <w:r w:rsidRPr="00C603A9">
        <w:rPr>
          <w:sz w:val="24"/>
          <w:szCs w:val="24"/>
        </w:rPr>
        <w:t xml:space="preserve">Formally recognized.  </w:t>
      </w:r>
    </w:p>
    <w:p w:rsidR="00BC1C6F" w:rsidRPr="00C603A9" w:rsidRDefault="00BC1C6F" w:rsidP="00BC1C6F">
      <w:pPr>
        <w:jc w:val="lowKashida"/>
        <w:rPr>
          <w:sz w:val="24"/>
          <w:szCs w:val="24"/>
        </w:rPr>
      </w:pPr>
      <w:r w:rsidRPr="00C603A9">
        <w:rPr>
          <w:sz w:val="24"/>
          <w:szCs w:val="24"/>
        </w:rPr>
        <w:t>In addition to the settlements and Jewish neighborhoods</w:t>
      </w:r>
      <w:proofErr w:type="gramStart"/>
      <w:r w:rsidRPr="00C603A9">
        <w:rPr>
          <w:sz w:val="24"/>
          <w:szCs w:val="24"/>
        </w:rPr>
        <w:t>;</w:t>
      </w:r>
      <w:proofErr w:type="gramEnd"/>
      <w:r w:rsidRPr="00C603A9">
        <w:rPr>
          <w:sz w:val="24"/>
          <w:szCs w:val="24"/>
        </w:rPr>
        <w:t xml:space="preserve"> located in Jerusalem (J1).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BC1C6F" w:rsidRPr="00C603A9" w:rsidRDefault="00BC1C6F" w:rsidP="00BC1C6F">
      <w:pPr>
        <w:tabs>
          <w:tab w:val="left" w:pos="2155"/>
          <w:tab w:val="left" w:pos="9242"/>
        </w:tabs>
        <w:jc w:val="lowKashida"/>
        <w:rPr>
          <w:sz w:val="24"/>
          <w:szCs w:val="24"/>
          <w:lang w:val="en-GB" w:eastAsia="en-GB"/>
        </w:rPr>
      </w:pPr>
      <w:r w:rsidRPr="00C603A9">
        <w:rPr>
          <w:sz w:val="24"/>
          <w:szCs w:val="24"/>
        </w:rPr>
        <w:t xml:space="preserve">Civil or semi military building, which </w:t>
      </w:r>
      <w:proofErr w:type="gramStart"/>
      <w:r w:rsidRPr="00C603A9">
        <w:rPr>
          <w:sz w:val="24"/>
          <w:szCs w:val="24"/>
        </w:rPr>
        <w:t>is not recognized</w:t>
      </w:r>
      <w:proofErr w:type="gramEnd"/>
      <w:r w:rsidRPr="00C603A9">
        <w:rPr>
          <w:sz w:val="24"/>
          <w:szCs w:val="24"/>
        </w:rPr>
        <w:t xml:space="preserve"> by Israeli authority. However, the recognition would come later at the politically correct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all areas of human activity within a settlement including built-up areas, service facilities, public parks, squares, and roads. It excludes any land that </w:t>
      </w:r>
      <w:proofErr w:type="gramStart"/>
      <w:r w:rsidRPr="00C603A9">
        <w:rPr>
          <w:sz w:val="24"/>
          <w:szCs w:val="24"/>
        </w:rPr>
        <w:t>is planned</w:t>
      </w:r>
      <w:proofErr w:type="gramEnd"/>
      <w:r w:rsidRPr="00C603A9">
        <w:rPr>
          <w:sz w:val="24"/>
          <w:szCs w:val="24"/>
        </w:rPr>
        <w:t xml:space="preserve">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also includes agricultural localities</w:t>
      </w:r>
      <w:proofErr w:type="gramStart"/>
      <w:r w:rsidRPr="00C603A9">
        <w:rPr>
          <w:sz w:val="24"/>
          <w:szCs w:val="24"/>
        </w:rPr>
        <w:t>,  excluding</w:t>
      </w:r>
      <w:proofErr w:type="gramEnd"/>
      <w:r w:rsidRPr="00C603A9">
        <w:rPr>
          <w:sz w:val="24"/>
          <w:szCs w:val="24"/>
        </w:rPr>
        <w:t xml:space="preserv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production and </w:t>
      </w:r>
      <w:r w:rsidRPr="00C603A9">
        <w:rPr>
          <w:sz w:val="24"/>
          <w:szCs w:val="24"/>
        </w:rPr>
        <w:lastRenderedPageBreak/>
        <w:t xml:space="preserve">economic administration of the </w:t>
      </w:r>
      <w:proofErr w:type="spellStart"/>
      <w:r w:rsidRPr="00C603A9">
        <w:rPr>
          <w:sz w:val="24"/>
          <w:szCs w:val="24"/>
        </w:rPr>
        <w:t>moshav</w:t>
      </w:r>
      <w:proofErr w:type="spellEnd"/>
      <w:r w:rsidRPr="00C603A9">
        <w:rPr>
          <w:sz w:val="24"/>
          <w:szCs w:val="24"/>
        </w:rPr>
        <w:t xml:space="preserve"> </w:t>
      </w:r>
      <w:proofErr w:type="gramStart"/>
      <w:r w:rsidRPr="00C603A9">
        <w:rPr>
          <w:sz w:val="24"/>
          <w:szCs w:val="24"/>
        </w:rPr>
        <w:t>is handled</w:t>
      </w:r>
      <w:proofErr w:type="gramEnd"/>
      <w:r w:rsidRPr="00C603A9">
        <w:rPr>
          <w:sz w:val="24"/>
          <w:szCs w:val="24"/>
        </w:rPr>
        <w:t xml:space="preserve">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 xml:space="preserve">Collective </w:t>
      </w:r>
      <w:proofErr w:type="spellStart"/>
      <w:r w:rsidRPr="00C603A9">
        <w:rPr>
          <w:b/>
          <w:bCs/>
          <w:sz w:val="24"/>
          <w:szCs w:val="24"/>
        </w:rPr>
        <w:t>Moshav</w:t>
      </w:r>
      <w:proofErr w:type="spellEnd"/>
      <w:r w:rsidRPr="00C603A9">
        <w:rPr>
          <w:b/>
          <w:bCs/>
          <w:sz w:val="24"/>
          <w:szCs w:val="24"/>
        </w:rPr>
        <w:t>:</w:t>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FF7E7A">
      <w:pPr>
        <w:tabs>
          <w:tab w:val="left" w:pos="3828"/>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FF7E7A" w:rsidP="00FF7E7A">
      <w:pPr>
        <w:tabs>
          <w:tab w:val="left" w:pos="3828"/>
          <w:tab w:val="left" w:pos="9242"/>
        </w:tabs>
        <w:jc w:val="lowKashida"/>
        <w:rPr>
          <w:b/>
          <w:bCs/>
          <w:sz w:val="24"/>
          <w:szCs w:val="24"/>
        </w:rPr>
      </w:pPr>
      <w:r>
        <w:rPr>
          <w:b/>
          <w:bCs/>
          <w:sz w:val="24"/>
          <w:szCs w:val="24"/>
        </w:rPr>
        <w:t xml:space="preserve">Communal </w:t>
      </w:r>
      <w:r w:rsidR="00BC1C6F" w:rsidRPr="00C603A9">
        <w:rPr>
          <w:b/>
          <w:bCs/>
          <w:sz w:val="24"/>
          <w:szCs w:val="24"/>
        </w:rPr>
        <w:t>Settlement:</w:t>
      </w:r>
      <w:r w:rsidR="00BC1C6F"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961B6F">
      <w:pPr>
        <w:tabs>
          <w:tab w:val="left" w:pos="3828"/>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proofErr w:type="gramStart"/>
      <w:r w:rsidRPr="00C603A9">
        <w:rPr>
          <w:sz w:val="24"/>
          <w:szCs w:val="24"/>
        </w:rPr>
        <w:t>It’s</w:t>
      </w:r>
      <w:proofErr w:type="gramEnd"/>
      <w:r w:rsidRPr="00C603A9">
        <w:rPr>
          <w:sz w:val="24"/>
          <w:szCs w:val="24"/>
        </w:rPr>
        <w:t xml:space="preserve">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BC1C6F">
      <w:pPr>
        <w:pStyle w:val="BodyText"/>
        <w:rPr>
          <w:szCs w:val="24"/>
        </w:rPr>
      </w:pPr>
      <w:r w:rsidRPr="00C603A9">
        <w:rPr>
          <w:szCs w:val="24"/>
        </w:rPr>
        <w:t xml:space="preserve">This classification divides the West Bank into four areas (strips): the mountain 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Mountain Strip:  the area on or adjacent to the peaks of the mountain range. This area </w:t>
      </w:r>
      <w:proofErr w:type="gramStart"/>
      <w:r w:rsidRPr="00C603A9">
        <w:rPr>
          <w:sz w:val="24"/>
          <w:szCs w:val="24"/>
        </w:rPr>
        <w:t>is also known</w:t>
      </w:r>
      <w:proofErr w:type="gramEnd"/>
      <w:r w:rsidRPr="00C603A9">
        <w:rPr>
          <w:sz w:val="24"/>
          <w:szCs w:val="24"/>
        </w:rPr>
        <w:t xml:space="preserve"> as the watershed line or the mountain-peak area.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The Western Hills Strip: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961B6F" w:rsidRDefault="00BC1C6F" w:rsidP="00961B6F">
      <w:pPr>
        <w:pStyle w:val="BodyText"/>
        <w:rPr>
          <w:b/>
          <w:bCs/>
          <w:szCs w:val="24"/>
        </w:rPr>
      </w:pPr>
      <w:r w:rsidRPr="00961B6F">
        <w:rPr>
          <w:b/>
          <w:bCs/>
          <w:szCs w:val="24"/>
        </w:rPr>
        <w:t>Average altitude (Meters):</w:t>
      </w:r>
      <w:r w:rsidRPr="00961B6F">
        <w:rPr>
          <w:b/>
          <w:bCs/>
          <w:szCs w:val="24"/>
        </w:rPr>
        <w:tab/>
      </w:r>
    </w:p>
    <w:p w:rsidR="00BC1C6F" w:rsidRPr="00C603A9" w:rsidRDefault="00BC1C6F" w:rsidP="00BC1C6F">
      <w:pPr>
        <w:jc w:val="lowKashida"/>
        <w:rPr>
          <w:sz w:val="24"/>
          <w:szCs w:val="24"/>
        </w:rPr>
      </w:pPr>
      <w:r w:rsidRPr="00C603A9">
        <w:rPr>
          <w:sz w:val="24"/>
          <w:szCs w:val="24"/>
        </w:rPr>
        <w:t>The average height of land above the level of the Sea (meter)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6562A0" w:rsidRPr="00646183" w:rsidRDefault="00646183" w:rsidP="00BC1C6F">
      <w:pPr>
        <w:tabs>
          <w:tab w:val="left" w:pos="2155"/>
          <w:tab w:val="left" w:pos="9242"/>
        </w:tabs>
        <w:jc w:val="lowKashida"/>
        <w:rPr>
          <w:sz w:val="24"/>
          <w:szCs w:val="24"/>
        </w:rPr>
      </w:pPr>
      <w:proofErr w:type="gramStart"/>
      <w:r w:rsidRPr="00646183">
        <w:rPr>
          <w:rStyle w:val="hps"/>
          <w:sz w:val="24"/>
          <w:szCs w:val="24"/>
        </w:rPr>
        <w:t>includes</w:t>
      </w:r>
      <w:proofErr w:type="gramEnd"/>
      <w:r w:rsidRPr="00646183">
        <w:rPr>
          <w:rStyle w:val="hps"/>
          <w:sz w:val="24"/>
          <w:szCs w:val="24"/>
        </w:rPr>
        <w:t xml:space="preserve"> those parts of Jerusalem which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xml:space="preserve">, Al </w:t>
      </w:r>
      <w:r w:rsidRPr="00646183">
        <w:rPr>
          <w:sz w:val="24"/>
          <w:szCs w:val="24"/>
        </w:rPr>
        <w:lastRenderedPageBreak/>
        <w:t>'</w:t>
      </w:r>
      <w:proofErr w:type="spellStart"/>
      <w:r w:rsidRPr="00646183">
        <w:rPr>
          <w:sz w:val="24"/>
          <w:szCs w:val="24"/>
        </w:rPr>
        <w:t>Isawiya</w:t>
      </w:r>
      <w:proofErr w:type="spellEnd"/>
      <w:r w:rsidRPr="00646183">
        <w:rPr>
          <w:sz w:val="24"/>
          <w:szCs w:val="24"/>
        </w:rPr>
        <w:t xml:space="preserve">, Sheikh Jarrah,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Bab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Tur, Jerusalem (Al Quds),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Beit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Bahir, Umm Tuba.). </w:t>
      </w:r>
      <w:r w:rsidRPr="00646183">
        <w:rPr>
          <w:b/>
          <w:bCs/>
          <w:sz w:val="24"/>
          <w:szCs w:val="24"/>
        </w:rPr>
        <w:t> </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BC1C6F" w:rsidRPr="00646183" w:rsidRDefault="00646183" w:rsidP="00BC1C6F">
      <w:pPr>
        <w:jc w:val="lowKashida"/>
        <w:rPr>
          <w:sz w:val="24"/>
          <w:szCs w:val="24"/>
        </w:rPr>
      </w:pPr>
      <w:proofErr w:type="gramStart"/>
      <w:r w:rsidRPr="00646183">
        <w:rPr>
          <w:rStyle w:val="hps"/>
          <w:sz w:val="24"/>
          <w:szCs w:val="24"/>
        </w:rPr>
        <w:t>Includes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Beit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Beit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Beit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Beit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Beit </w:t>
      </w:r>
      <w:proofErr w:type="spellStart"/>
      <w:r w:rsidRPr="00646183">
        <w:rPr>
          <w:sz w:val="24"/>
          <w:szCs w:val="24"/>
        </w:rPr>
        <w:t>Surik</w:t>
      </w:r>
      <w:proofErr w:type="spellEnd"/>
      <w:r w:rsidRPr="00646183">
        <w:rPr>
          <w:sz w:val="24"/>
          <w:szCs w:val="24"/>
        </w:rPr>
        <w:t xml:space="preserve">, Beit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Dis,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roofErr w:type="gramEnd"/>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BC1C6F" w:rsidRPr="00C603A9" w:rsidRDefault="00BC1C6F" w:rsidP="00BC1C6F">
      <w:pPr>
        <w:jc w:val="lowKashida"/>
        <w:rPr>
          <w:sz w:val="24"/>
          <w:szCs w:val="24"/>
        </w:rPr>
      </w:pPr>
      <w:r w:rsidRPr="00C603A9">
        <w:rPr>
          <w:sz w:val="24"/>
          <w:szCs w:val="24"/>
        </w:rPr>
        <w:t>(-):</w:t>
      </w:r>
      <w:r w:rsidRPr="00C603A9">
        <w:rPr>
          <w:sz w:val="24"/>
          <w:szCs w:val="24"/>
        </w:rPr>
        <w:tab/>
        <w:t>Nil</w:t>
      </w:r>
    </w:p>
    <w:p w:rsidR="00BC1C6F" w:rsidRPr="00C603A9" w:rsidRDefault="00BC1C6F" w:rsidP="00BC1C6F">
      <w:pPr>
        <w:jc w:val="lowKashida"/>
        <w:rPr>
          <w:sz w:val="24"/>
          <w:szCs w:val="24"/>
        </w:rPr>
      </w:pPr>
      <w:proofErr w:type="gramStart"/>
      <w:r w:rsidRPr="00C603A9">
        <w:rPr>
          <w:sz w:val="24"/>
          <w:szCs w:val="24"/>
        </w:rPr>
        <w:t>(..)</w:t>
      </w:r>
      <w:proofErr w:type="gramEnd"/>
      <w:r w:rsidRPr="00C603A9">
        <w:rPr>
          <w:sz w:val="24"/>
          <w:szCs w:val="24"/>
        </w:rPr>
        <w:t>:</w:t>
      </w:r>
      <w:r w:rsidRPr="00C603A9">
        <w:rPr>
          <w:sz w:val="24"/>
          <w:szCs w:val="24"/>
        </w:rPr>
        <w:tab/>
        <w:t>Data not available</w:t>
      </w:r>
    </w:p>
    <w:p w:rsidR="00BC1C6F" w:rsidRPr="00C603A9" w:rsidRDefault="00BC1C6F" w:rsidP="00BC1C6F">
      <w:pPr>
        <w:jc w:val="lowKashida"/>
        <w:rPr>
          <w:sz w:val="24"/>
          <w:szCs w:val="24"/>
        </w:rPr>
      </w:pPr>
      <w:r w:rsidRPr="00C603A9">
        <w:rPr>
          <w:sz w:val="24"/>
          <w:szCs w:val="24"/>
        </w:rPr>
        <w:t xml:space="preserve">(R):      Revised Figures </w:t>
      </w:r>
    </w:p>
    <w:p w:rsidR="00BC1C6F" w:rsidRDefault="00BC1C6F">
      <w:pPr>
        <w:rPr>
          <w:noProof/>
          <w:sz w:val="24"/>
          <w:szCs w:val="24"/>
        </w:rPr>
      </w:pPr>
      <w:r>
        <w:rPr>
          <w:sz w:val="24"/>
        </w:rPr>
        <w:br w:type="page"/>
      </w:r>
    </w:p>
    <w:p w:rsidR="00BC1C6F" w:rsidRDefault="00BC1C6F">
      <w:pPr>
        <w:rPr>
          <w:noProof/>
          <w:sz w:val="24"/>
          <w:szCs w:val="24"/>
        </w:rPr>
      </w:pPr>
      <w:r>
        <w:rPr>
          <w:sz w:val="24"/>
        </w:rPr>
        <w:lastRenderedPageBreak/>
        <w:br w:type="page"/>
      </w:r>
    </w:p>
    <w:p w:rsidR="005E1E3C" w:rsidRPr="00C603A9" w:rsidRDefault="005E1E3C" w:rsidP="00BC1C6F">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sidR="00BC1C6F">
        <w:rPr>
          <w:sz w:val="24"/>
        </w:rPr>
        <w:t xml:space="preserve">Tow </w:t>
      </w:r>
    </w:p>
    <w:p w:rsidR="005E1E3C" w:rsidRPr="000B7819" w:rsidRDefault="005E1E3C" w:rsidP="005E1E3C">
      <w:pPr>
        <w:pStyle w:val="Title"/>
        <w:rPr>
          <w:b w:val="0"/>
          <w:bCs w:val="0"/>
          <w:sz w:val="22"/>
          <w:szCs w:val="22"/>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8B6D0C" w:rsidRPr="003E3DB7" w:rsidRDefault="00725D07" w:rsidP="00421821">
      <w:pPr>
        <w:jc w:val="both"/>
        <w:rPr>
          <w:rFonts w:cs="Times New Roman"/>
          <w:sz w:val="24"/>
          <w:szCs w:val="24"/>
        </w:rPr>
      </w:pPr>
      <w:r w:rsidRPr="00725D07">
        <w:rPr>
          <w:rFonts w:cs="Times New Roman"/>
          <w:sz w:val="24"/>
          <w:szCs w:val="24"/>
        </w:rPr>
        <w:t xml:space="preserve">There were </w:t>
      </w:r>
      <w:r w:rsidR="00421821">
        <w:rPr>
          <w:rFonts w:cs="Times New Roman"/>
          <w:sz w:val="24"/>
          <w:szCs w:val="24"/>
        </w:rPr>
        <w:t>151</w:t>
      </w:r>
      <w:r w:rsidRPr="00725D07">
        <w:rPr>
          <w:rFonts w:cs="Times New Roman"/>
          <w:sz w:val="24"/>
          <w:szCs w:val="24"/>
        </w:rPr>
        <w:t xml:space="preserve"> settlements in the West Bank by the end of 2019; of which 26 settlements were in Jerusalem governorate distributed as follows: 16 settlements in Jerusalem (J1), and 10 settlements in Jerusalem (J2). (See Table 2)</w:t>
      </w:r>
      <w:r w:rsidR="008B6D0C" w:rsidRPr="003E3DB7">
        <w:rPr>
          <w:rFonts w:cs="Times New Roman"/>
          <w:sz w:val="24"/>
          <w:szCs w:val="24"/>
        </w:rPr>
        <w:t>.</w:t>
      </w:r>
    </w:p>
    <w:p w:rsidR="005E1E3C" w:rsidRPr="00147754" w:rsidRDefault="00D3146B" w:rsidP="00D3146B">
      <w:pPr>
        <w:tabs>
          <w:tab w:val="left" w:pos="5130"/>
        </w:tabs>
        <w:ind w:left="142"/>
        <w:rPr>
          <w:rFonts w:ascii="Arial" w:hAnsi="Arial" w:cs="Arial"/>
          <w:b/>
          <w:bCs/>
          <w:sz w:val="24"/>
          <w:szCs w:val="24"/>
        </w:rPr>
      </w:pPr>
      <w:r w:rsidRPr="00147754">
        <w:rPr>
          <w:rFonts w:ascii="Arial" w:hAnsi="Arial" w:cs="Arial"/>
          <w:b/>
          <w:bCs/>
          <w:sz w:val="24"/>
          <w:szCs w:val="24"/>
        </w:rPr>
        <w:tab/>
      </w:r>
    </w:p>
    <w:p w:rsidR="005E1E3C" w:rsidRPr="00C603A9" w:rsidRDefault="005E1E3C" w:rsidP="00A91713">
      <w:pPr>
        <w:jc w:val="center"/>
        <w:rPr>
          <w:rFonts w:ascii="Arial" w:hAnsi="Arial" w:cs="Arial"/>
          <w:b/>
          <w:bCs/>
          <w:sz w:val="22"/>
          <w:szCs w:val="22"/>
        </w:rPr>
      </w:pPr>
      <w:r w:rsidRPr="00C603A9">
        <w:rPr>
          <w:rFonts w:ascii="Arial" w:hAnsi="Arial" w:cs="Arial"/>
          <w:b/>
          <w:bCs/>
          <w:sz w:val="22"/>
          <w:szCs w:val="22"/>
        </w:rPr>
        <w:t xml:space="preserve">Number of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0D61D3">
        <w:rPr>
          <w:rFonts w:cs="Times New Roman"/>
          <w:b/>
          <w:bCs/>
          <w:sz w:val="24"/>
          <w:szCs w:val="24"/>
        </w:rPr>
        <w:t>201</w:t>
      </w:r>
      <w:r w:rsidR="00A91713">
        <w:rPr>
          <w:rFonts w:cs="Times New Roman"/>
          <w:b/>
          <w:bCs/>
          <w:sz w:val="24"/>
          <w:szCs w:val="24"/>
        </w:rPr>
        <w:t>9</w:t>
      </w:r>
    </w:p>
    <w:tbl>
      <w:tblPr>
        <w:tblStyle w:val="TableGrid"/>
        <w:tblW w:w="0" w:type="auto"/>
        <w:jc w:val="center"/>
        <w:tblLook w:val="04A0" w:firstRow="1" w:lastRow="0" w:firstColumn="1" w:lastColumn="0" w:noHBand="0" w:noVBand="1"/>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94292C" w:rsidRDefault="00725D07" w:rsidP="00B739A7">
      <w:pPr>
        <w:jc w:val="both"/>
        <w:rPr>
          <w:rFonts w:asciiTheme="majorBidi" w:hAnsiTheme="majorBidi" w:cstheme="majorBidi"/>
          <w:sz w:val="28"/>
          <w:szCs w:val="28"/>
        </w:rPr>
      </w:pPr>
      <w:r w:rsidRPr="00725D07">
        <w:rPr>
          <w:rFonts w:asciiTheme="majorBidi" w:hAnsiTheme="majorBidi" w:cstheme="majorBidi"/>
          <w:sz w:val="24"/>
          <w:szCs w:val="24"/>
        </w:rPr>
        <w:t>Data indicates that there were 688,</w:t>
      </w:r>
      <w:r w:rsidR="00421821">
        <w:rPr>
          <w:rFonts w:asciiTheme="majorBidi" w:hAnsiTheme="majorBidi" w:cstheme="majorBidi"/>
          <w:sz w:val="24"/>
          <w:szCs w:val="24"/>
        </w:rPr>
        <w:t>262</w:t>
      </w:r>
      <w:r w:rsidRPr="00725D07">
        <w:rPr>
          <w:rFonts w:asciiTheme="majorBidi" w:hAnsiTheme="majorBidi" w:cstheme="majorBidi"/>
          <w:sz w:val="24"/>
          <w:szCs w:val="24"/>
        </w:rPr>
        <w:t xml:space="preserve"> </w:t>
      </w:r>
      <w:r w:rsidRPr="00B739A7">
        <w:rPr>
          <w:rFonts w:cs="Times New Roman"/>
          <w:sz w:val="24"/>
          <w:szCs w:val="24"/>
        </w:rPr>
        <w:t>settlers</w:t>
      </w:r>
      <w:r w:rsidRPr="00725D07">
        <w:rPr>
          <w:rFonts w:asciiTheme="majorBidi" w:hAnsiTheme="majorBidi" w:cstheme="majorBidi"/>
          <w:sz w:val="24"/>
          <w:szCs w:val="24"/>
        </w:rPr>
        <w:t xml:space="preserve"> in the West Bank by the end of 2019. The majority of those settlers (316,176) live in Jerusalem governorate. This figure comprises 232,093 settlers within Jerusalem governorate (J1). (See Table 3)</w:t>
      </w:r>
    </w:p>
    <w:p w:rsidR="00725D07" w:rsidRPr="00147754" w:rsidRDefault="00725D07" w:rsidP="00777064">
      <w:pPr>
        <w:rPr>
          <w:rFonts w:asciiTheme="majorBidi" w:hAnsiTheme="majorBidi" w:cstheme="majorBidi"/>
          <w:sz w:val="28"/>
          <w:szCs w:val="28"/>
        </w:rPr>
      </w:pPr>
    </w:p>
    <w:p w:rsidR="005E1E3C" w:rsidRPr="00C603A9" w:rsidRDefault="005E1E3C" w:rsidP="00A91713">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w:t>
      </w:r>
      <w:r w:rsidR="003E046E" w:rsidRPr="003E046E">
        <w:rPr>
          <w:rFonts w:ascii="Arial" w:hAnsi="Arial" w:cs="Arial"/>
          <w:b/>
          <w:bCs/>
          <w:sz w:val="22"/>
          <w:szCs w:val="22"/>
        </w:rPr>
        <w:t>Israeli</w:t>
      </w:r>
      <w:r w:rsidR="003E046E" w:rsidRPr="00C603A9">
        <w:rPr>
          <w:b/>
          <w:bCs/>
          <w:sz w:val="40"/>
          <w:szCs w:val="40"/>
        </w:rPr>
        <w:t xml:space="preserve"> </w:t>
      </w:r>
      <w:r w:rsidRPr="00C603A9">
        <w:rPr>
          <w:rFonts w:ascii="Arial" w:hAnsi="Arial" w:cs="Arial"/>
          <w:b/>
          <w:bCs/>
          <w:sz w:val="22"/>
          <w:szCs w:val="22"/>
        </w:rPr>
        <w:t xml:space="preserve">Settlements in the West Bank, by Governorate, </w:t>
      </w:r>
      <w:r w:rsidR="000D61D3">
        <w:rPr>
          <w:rFonts w:cs="Times New Roman"/>
          <w:b/>
          <w:bCs/>
          <w:sz w:val="24"/>
          <w:szCs w:val="24"/>
        </w:rPr>
        <w:t>201</w:t>
      </w:r>
      <w:r w:rsidR="00A91713">
        <w:rPr>
          <w:rFonts w:cs="Times New Roman"/>
          <w:b/>
          <w:bCs/>
          <w:sz w:val="24"/>
          <w:szCs w:val="24"/>
        </w:rPr>
        <w:t>9</w:t>
      </w:r>
    </w:p>
    <w:tbl>
      <w:tblPr>
        <w:tblStyle w:val="TableGrid"/>
        <w:tblW w:w="0" w:type="auto"/>
        <w:jc w:val="center"/>
        <w:tblLook w:val="04A0" w:firstRow="1" w:lastRow="0" w:firstColumn="1" w:lastColumn="0" w:noHBand="0" w:noVBand="1"/>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B83961">
      <w:pPr>
        <w:jc w:val="lowKashida"/>
        <w:rPr>
          <w:b/>
          <w:bCs/>
          <w:sz w:val="24"/>
          <w:szCs w:val="24"/>
        </w:rPr>
      </w:pPr>
      <w:r>
        <w:rPr>
          <w:b/>
          <w:bCs/>
          <w:sz w:val="24"/>
          <w:szCs w:val="24"/>
        </w:rPr>
        <w:lastRenderedPageBreak/>
        <w:t>2</w:t>
      </w:r>
      <w:r w:rsidR="005E1E3C" w:rsidRPr="00C603A9">
        <w:rPr>
          <w:b/>
          <w:bCs/>
          <w:sz w:val="24"/>
          <w:szCs w:val="24"/>
        </w:rPr>
        <w:t xml:space="preserve">.3 </w:t>
      </w:r>
      <w:r w:rsidR="00067F02" w:rsidRPr="00C603A9">
        <w:rPr>
          <w:b/>
          <w:bCs/>
          <w:sz w:val="24"/>
          <w:szCs w:val="24"/>
        </w:rPr>
        <w:t>Stages of Settlement</w:t>
      </w:r>
      <w:r w:rsidR="00B83961" w:rsidRPr="00B83961">
        <w:rPr>
          <w:b/>
          <w:bCs/>
          <w:sz w:val="24"/>
          <w:szCs w:val="24"/>
        </w:rPr>
        <w:t xml:space="preserve"> </w:t>
      </w:r>
    </w:p>
    <w:p w:rsidR="002A1B19" w:rsidRPr="002A1B19" w:rsidRDefault="002A1B19" w:rsidP="00B739A7">
      <w:pPr>
        <w:jc w:val="both"/>
        <w:rPr>
          <w:rFonts w:cs="Times New Roman"/>
          <w:sz w:val="24"/>
          <w:szCs w:val="24"/>
        </w:rPr>
      </w:pPr>
      <w:r w:rsidRPr="00B739A7">
        <w:rPr>
          <w:rFonts w:asciiTheme="majorBidi" w:hAnsiTheme="majorBidi" w:cstheme="majorBidi"/>
          <w:sz w:val="24"/>
          <w:szCs w:val="24"/>
        </w:rPr>
        <w:t>Stage</w:t>
      </w:r>
      <w:r w:rsidRPr="002A1B19">
        <w:rPr>
          <w:rFonts w:cs="Times New Roman"/>
          <w:sz w:val="24"/>
          <w:szCs w:val="24"/>
        </w:rPr>
        <w:t xml:space="preserve"> </w:t>
      </w:r>
      <w:proofErr w:type="gramStart"/>
      <w:r w:rsidRPr="002A1B19">
        <w:rPr>
          <w:rFonts w:cs="Times New Roman"/>
          <w:sz w:val="24"/>
          <w:szCs w:val="24"/>
        </w:rPr>
        <w:t>One</w:t>
      </w:r>
      <w:proofErr w:type="gramEnd"/>
      <w:r w:rsidRPr="002A1B19">
        <w:rPr>
          <w:rFonts w:cs="Times New Roman"/>
          <w:sz w:val="24"/>
          <w:szCs w:val="24"/>
        </w:rPr>
        <w:t xml:space="preserve"> (1976-1967): Building of settlements started selectively within a colonization policy based on quality, not quantity. Settlements in this stage were concentrated in Jerusalem and in the Jordan Valley, inspired by the </w:t>
      </w:r>
      <w:proofErr w:type="spellStart"/>
      <w:r w:rsidRPr="002A1B19">
        <w:rPr>
          <w:rFonts w:cs="Times New Roman"/>
          <w:sz w:val="24"/>
          <w:szCs w:val="24"/>
        </w:rPr>
        <w:t>Allon</w:t>
      </w:r>
      <w:proofErr w:type="spellEnd"/>
      <w:r w:rsidRPr="002A1B19">
        <w:rPr>
          <w:rFonts w:cs="Times New Roman"/>
          <w:sz w:val="24"/>
          <w:szCs w:val="24"/>
        </w:rPr>
        <w:t xml:space="preserve"> Plan.</w:t>
      </w:r>
    </w:p>
    <w:p w:rsidR="002A1B19" w:rsidRPr="002A1B19" w:rsidRDefault="002A1B19" w:rsidP="002A1B19">
      <w:pPr>
        <w:rPr>
          <w:rFonts w:cs="Times New Roman"/>
          <w:sz w:val="24"/>
          <w:szCs w:val="24"/>
        </w:rPr>
      </w:pPr>
    </w:p>
    <w:p w:rsidR="002A1B19" w:rsidRPr="002A1B19" w:rsidRDefault="009672B7" w:rsidP="00B739A7">
      <w:pPr>
        <w:jc w:val="both"/>
        <w:rPr>
          <w:rFonts w:cs="Times New Roman"/>
          <w:sz w:val="24"/>
          <w:szCs w:val="24"/>
        </w:rPr>
      </w:pPr>
      <w:r w:rsidRPr="00B739A7">
        <w:rPr>
          <w:rFonts w:asciiTheme="majorBidi" w:hAnsiTheme="majorBidi" w:cstheme="majorBidi"/>
          <w:sz w:val="24"/>
          <w:szCs w:val="24"/>
        </w:rPr>
        <w:t>Stage</w:t>
      </w:r>
      <w:r>
        <w:rPr>
          <w:rFonts w:cs="Times New Roman"/>
          <w:sz w:val="24"/>
          <w:szCs w:val="24"/>
        </w:rPr>
        <w:t xml:space="preserve"> Two </w:t>
      </w:r>
      <w:r w:rsidR="002A1B19" w:rsidRPr="002A1B19">
        <w:rPr>
          <w:rFonts w:cs="Times New Roman"/>
          <w:sz w:val="24"/>
          <w:szCs w:val="24"/>
        </w:rPr>
        <w:t>(1984-1977</w:t>
      </w:r>
      <w:r>
        <w:rPr>
          <w:rFonts w:cs="Times New Roman"/>
          <w:sz w:val="24"/>
          <w:szCs w:val="24"/>
        </w:rPr>
        <w:t>)</w:t>
      </w:r>
      <w:r w:rsidR="002A1B19" w:rsidRPr="002A1B19">
        <w:rPr>
          <w:rFonts w:cs="Times New Roman"/>
          <w:sz w:val="24"/>
          <w:szCs w:val="24"/>
        </w:rPr>
        <w:t xml:space="preserve">: During this stage, settlement movement grew greatly influencing and promoting the building and expansion of settlements. </w:t>
      </w:r>
    </w:p>
    <w:p w:rsidR="002A1B19" w:rsidRPr="002A1B19" w:rsidRDefault="002A1B19" w:rsidP="002A1B19">
      <w:pPr>
        <w:rPr>
          <w:rFonts w:cs="Times New Roman"/>
          <w:sz w:val="24"/>
          <w:szCs w:val="24"/>
        </w:rPr>
      </w:pPr>
      <w:r w:rsidRPr="002A1B19">
        <w:rPr>
          <w:rFonts w:cs="Times New Roman"/>
          <w:sz w:val="24"/>
          <w:szCs w:val="24"/>
        </w:rPr>
        <w:tab/>
      </w:r>
    </w:p>
    <w:p w:rsidR="002A1B19" w:rsidRPr="002A1B19" w:rsidRDefault="002A1B19" w:rsidP="00B739A7">
      <w:pPr>
        <w:jc w:val="both"/>
        <w:rPr>
          <w:rFonts w:cs="Times New Roman"/>
          <w:sz w:val="24"/>
          <w:szCs w:val="24"/>
        </w:rPr>
      </w:pPr>
      <w:r w:rsidRPr="002A1B19">
        <w:rPr>
          <w:rFonts w:cs="Times New Roman"/>
          <w:sz w:val="24"/>
          <w:szCs w:val="24"/>
        </w:rPr>
        <w:t>Stage Three (1985-1990): During this stage, colonialism accelerated and the number of settlements grew to match the pace of the first stage.</w:t>
      </w:r>
    </w:p>
    <w:p w:rsidR="002A1B19" w:rsidRPr="002A1B19" w:rsidRDefault="002A1B19" w:rsidP="002A1B19">
      <w:pPr>
        <w:rPr>
          <w:rFonts w:cs="Times New Roman"/>
          <w:sz w:val="24"/>
          <w:szCs w:val="24"/>
        </w:rPr>
      </w:pPr>
    </w:p>
    <w:p w:rsidR="002A1B19" w:rsidRPr="002A1B19" w:rsidRDefault="002A1B19" w:rsidP="00B739A7">
      <w:pPr>
        <w:jc w:val="both"/>
        <w:rPr>
          <w:rFonts w:cs="Times New Roman"/>
          <w:sz w:val="24"/>
          <w:szCs w:val="24"/>
        </w:rPr>
      </w:pPr>
      <w:r w:rsidRPr="002A1B19">
        <w:rPr>
          <w:rFonts w:cs="Times New Roman"/>
          <w:sz w:val="24"/>
          <w:szCs w:val="24"/>
        </w:rPr>
        <w:t xml:space="preserve">Stage Four (1991-2019):  Israel expanded the existing settlements during this period to compensate for the lack of new settlements. Expansion </w:t>
      </w:r>
      <w:proofErr w:type="gramStart"/>
      <w:r w:rsidRPr="002A1B19">
        <w:rPr>
          <w:rFonts w:cs="Times New Roman"/>
          <w:sz w:val="24"/>
          <w:szCs w:val="24"/>
        </w:rPr>
        <w:t>was achieved</w:t>
      </w:r>
      <w:proofErr w:type="gramEnd"/>
      <w:r w:rsidRPr="002A1B19">
        <w:rPr>
          <w:rFonts w:cs="Times New Roman"/>
          <w:sz w:val="24"/>
          <w:szCs w:val="24"/>
        </w:rPr>
        <w:t xml:space="preserve"> through population growth and the establishment of new ‘neighborhoods’ within existing settlements. </w:t>
      </w:r>
    </w:p>
    <w:p w:rsidR="002A1B19" w:rsidRPr="002A1B19" w:rsidRDefault="002A1B19" w:rsidP="002A1B19">
      <w:pPr>
        <w:rPr>
          <w:rFonts w:cs="Times New Roman"/>
          <w:sz w:val="24"/>
          <w:szCs w:val="24"/>
        </w:rPr>
      </w:pPr>
    </w:p>
    <w:p w:rsidR="008B6D0C" w:rsidRPr="00C603A9" w:rsidRDefault="002A1B19" w:rsidP="00421821">
      <w:pPr>
        <w:jc w:val="both"/>
        <w:rPr>
          <w:rFonts w:cs="Times New Roman"/>
          <w:sz w:val="24"/>
          <w:szCs w:val="24"/>
        </w:rPr>
      </w:pPr>
      <w:r w:rsidRPr="002A1B19">
        <w:rPr>
          <w:rFonts w:cs="Times New Roman"/>
          <w:sz w:val="24"/>
          <w:szCs w:val="24"/>
        </w:rPr>
        <w:t xml:space="preserve">The </w:t>
      </w:r>
      <w:r w:rsidRPr="00B739A7">
        <w:rPr>
          <w:rFonts w:asciiTheme="majorBidi" w:hAnsiTheme="majorBidi" w:cstheme="majorBidi"/>
          <w:sz w:val="24"/>
          <w:szCs w:val="24"/>
        </w:rPr>
        <w:t>overall</w:t>
      </w:r>
      <w:r w:rsidRPr="002A1B19">
        <w:rPr>
          <w:rFonts w:cs="Times New Roman"/>
          <w:sz w:val="24"/>
          <w:szCs w:val="24"/>
        </w:rPr>
        <w:t xml:space="preserve"> number of settlements has increased from one settlement in 1967 to </w:t>
      </w:r>
      <w:r w:rsidR="00421821">
        <w:rPr>
          <w:rFonts w:cs="Times New Roman"/>
          <w:sz w:val="24"/>
          <w:szCs w:val="24"/>
        </w:rPr>
        <w:t>151</w:t>
      </w:r>
      <w:r w:rsidRPr="002A1B19">
        <w:rPr>
          <w:rFonts w:cs="Times New Roman"/>
          <w:sz w:val="24"/>
          <w:szCs w:val="24"/>
        </w:rPr>
        <w:t xml:space="preserve"> settlements in 2019. (See Table 5) </w:t>
      </w:r>
      <w:r w:rsidR="008B6D0C" w:rsidRPr="00C603A9">
        <w:rPr>
          <w:rFonts w:cs="Times New Roman"/>
          <w:sz w:val="24"/>
          <w:szCs w:val="24"/>
        </w:rPr>
        <w:t xml:space="preserve"> </w:t>
      </w:r>
    </w:p>
    <w:p w:rsidR="005B0C6B" w:rsidRPr="00147754" w:rsidRDefault="005B0C6B" w:rsidP="005B0C6B">
      <w:pPr>
        <w:jc w:val="center"/>
        <w:rPr>
          <w:rFonts w:ascii="Arial" w:hAnsi="Arial" w:cs="Arial"/>
          <w:b/>
          <w:bCs/>
          <w:sz w:val="28"/>
          <w:szCs w:val="28"/>
        </w:rPr>
      </w:pPr>
    </w:p>
    <w:p w:rsidR="005B0C6B" w:rsidRPr="00EB427A" w:rsidRDefault="00595E20" w:rsidP="003E046E">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w:t>
      </w:r>
      <w:r w:rsidR="003E046E" w:rsidRPr="003E046E">
        <w:rPr>
          <w:rFonts w:ascii="Arial" w:hAnsi="Arial" w:cs="Arial"/>
          <w:b/>
          <w:bCs/>
          <w:sz w:val="22"/>
          <w:szCs w:val="22"/>
        </w:rPr>
        <w:t>Israeli</w:t>
      </w:r>
      <w:r w:rsidR="003E046E" w:rsidRPr="00C603A9">
        <w:rPr>
          <w:b/>
          <w:bCs/>
          <w:sz w:val="40"/>
          <w:szCs w:val="40"/>
        </w:rPr>
        <w:t xml:space="preserve"> </w:t>
      </w:r>
      <w:r w:rsidR="005B0C6B" w:rsidRPr="00EB427A">
        <w:rPr>
          <w:rFonts w:ascii="Arial" w:hAnsi="Arial" w:cs="Arial"/>
          <w:b/>
          <w:bCs/>
          <w:sz w:val="22"/>
          <w:szCs w:val="22"/>
        </w:rPr>
        <w:t xml:space="preserve">Settlements in the West Bank </w:t>
      </w:r>
      <w:r w:rsidR="00D31DE7">
        <w:rPr>
          <w:rFonts w:ascii="Arial" w:hAnsi="Arial" w:cs="Arial"/>
          <w:b/>
          <w:bCs/>
          <w:sz w:val="22"/>
          <w:szCs w:val="22"/>
        </w:rPr>
        <w:t xml:space="preserve">for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tbl>
      <w:tblPr>
        <w:tblStyle w:val="TableGrid"/>
        <w:tblW w:w="0" w:type="auto"/>
        <w:jc w:val="center"/>
        <w:tblLook w:val="04A0" w:firstRow="1" w:lastRow="0" w:firstColumn="1" w:lastColumn="0" w:noHBand="0" w:noVBand="1"/>
      </w:tblPr>
      <w:tblGrid>
        <w:gridCol w:w="8472"/>
      </w:tblGrid>
      <w:tr w:rsidR="00A12986" w:rsidTr="000944FF">
        <w:trPr>
          <w:trHeight w:val="3942"/>
          <w:jc w:val="center"/>
        </w:trPr>
        <w:tc>
          <w:tcPr>
            <w:tcW w:w="8472" w:type="dxa"/>
            <w:vAlign w:val="center"/>
          </w:tcPr>
          <w:p w:rsidR="00A12986" w:rsidRDefault="00A12986" w:rsidP="00A12986">
            <w:pPr>
              <w:jc w:val="center"/>
              <w:rPr>
                <w:rFonts w:ascii="Arial" w:hAnsi="Arial" w:cs="Simplified Arabic"/>
                <w:b/>
                <w:bCs/>
                <w:sz w:val="18"/>
                <w:szCs w:val="18"/>
                <w:rtl/>
              </w:rPr>
            </w:pPr>
            <w:r w:rsidRPr="00A12986">
              <w:rPr>
                <w:rFonts w:ascii="Arial" w:hAnsi="Arial" w:cs="Simplified Arabic"/>
                <w:b/>
                <w:bCs/>
                <w:noProof/>
                <w:sz w:val="18"/>
                <w:szCs w:val="18"/>
                <w:rtl/>
              </w:rPr>
              <w:drawing>
                <wp:inline distT="0" distB="0" distL="0" distR="0">
                  <wp:extent cx="5181600" cy="2150076"/>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B427A" w:rsidRDefault="00EB427A" w:rsidP="00EB427A">
      <w:pPr>
        <w:jc w:val="center"/>
        <w:rPr>
          <w:rFonts w:ascii="Arial" w:hAnsi="Arial" w:cs="Simplified Arabic"/>
          <w:b/>
          <w:bCs/>
          <w:sz w:val="18"/>
          <w:szCs w:val="18"/>
        </w:rPr>
      </w:pPr>
    </w:p>
    <w:p w:rsidR="00EB427A" w:rsidRPr="00595E20" w:rsidRDefault="00EB427A" w:rsidP="00EB427A">
      <w:pPr>
        <w:jc w:val="center"/>
        <w:rPr>
          <w:rFonts w:ascii="Arial" w:hAnsi="Arial" w:cs="Simplified Arabic"/>
          <w:b/>
          <w:bCs/>
          <w:sz w:val="18"/>
          <w:szCs w:val="18"/>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w:t>
      </w:r>
      <w:r w:rsidR="00B83961">
        <w:rPr>
          <w:b/>
          <w:bCs/>
          <w:sz w:val="24"/>
          <w:szCs w:val="24"/>
        </w:rPr>
        <w:t>s</w:t>
      </w:r>
      <w:r w:rsidR="00067F02" w:rsidRPr="00C603A9">
        <w:rPr>
          <w:b/>
          <w:bCs/>
          <w:sz w:val="24"/>
          <w:szCs w:val="24"/>
        </w:rPr>
        <w:t xml:space="preserve"> in the West Bank</w:t>
      </w:r>
    </w:p>
    <w:p w:rsidR="002A1B19" w:rsidRPr="002A1B19" w:rsidRDefault="002A1B19" w:rsidP="00B739A7">
      <w:pPr>
        <w:jc w:val="both"/>
        <w:rPr>
          <w:rFonts w:cs="Times New Roman"/>
          <w:sz w:val="24"/>
          <w:szCs w:val="24"/>
        </w:rPr>
      </w:pPr>
      <w:r w:rsidRPr="002A1B19">
        <w:rPr>
          <w:rFonts w:cs="Times New Roman"/>
          <w:sz w:val="24"/>
          <w:szCs w:val="24"/>
        </w:rPr>
        <w:t>At the end of 2019, there were 61 urban settlements in the West Bank</w:t>
      </w:r>
      <w:proofErr w:type="gramStart"/>
      <w:r w:rsidRPr="002A1B19">
        <w:rPr>
          <w:rFonts w:cs="Times New Roman"/>
          <w:sz w:val="24"/>
          <w:szCs w:val="24"/>
        </w:rPr>
        <w:t>;</w:t>
      </w:r>
      <w:proofErr w:type="gramEnd"/>
      <w:r w:rsidRPr="002A1B19">
        <w:rPr>
          <w:rFonts w:cs="Times New Roman"/>
          <w:sz w:val="24"/>
          <w:szCs w:val="24"/>
        </w:rPr>
        <w:t xml:space="preserve"> of which 22 in Jerusalem governorate.  Settlers in urban settlements represent around 90% out of all settlers in the West Bank.</w:t>
      </w:r>
    </w:p>
    <w:p w:rsidR="002A1B19" w:rsidRPr="002A1B19" w:rsidRDefault="002A1B19" w:rsidP="002A1B19">
      <w:pPr>
        <w:jc w:val="lowKashida"/>
        <w:rPr>
          <w:rFonts w:cs="Times New Roman"/>
          <w:sz w:val="24"/>
          <w:szCs w:val="24"/>
        </w:rPr>
      </w:pPr>
    </w:p>
    <w:p w:rsidR="00345066" w:rsidRDefault="002A1B19" w:rsidP="00B739A7">
      <w:pPr>
        <w:jc w:val="both"/>
        <w:rPr>
          <w:b/>
          <w:bCs/>
          <w:sz w:val="24"/>
          <w:szCs w:val="24"/>
        </w:rPr>
      </w:pPr>
      <w:r w:rsidRPr="002A1B19">
        <w:rPr>
          <w:rFonts w:cs="Times New Roman"/>
          <w:sz w:val="24"/>
          <w:szCs w:val="24"/>
        </w:rPr>
        <w:t xml:space="preserve">Additionally, there were </w:t>
      </w:r>
      <w:r w:rsidR="00421821">
        <w:rPr>
          <w:rFonts w:cs="Times New Roman"/>
          <w:sz w:val="24"/>
          <w:szCs w:val="24"/>
        </w:rPr>
        <w:t>90</w:t>
      </w:r>
      <w:r w:rsidRPr="002A1B19">
        <w:rPr>
          <w:rFonts w:cs="Times New Roman"/>
          <w:sz w:val="24"/>
          <w:szCs w:val="24"/>
        </w:rPr>
        <w:t xml:space="preserve"> rural settlements in the West Bank; of which 43 are classified as </w:t>
      </w:r>
      <w:r w:rsidRPr="00B739A7">
        <w:rPr>
          <w:rFonts w:asciiTheme="majorBidi" w:hAnsiTheme="majorBidi" w:cstheme="majorBidi"/>
          <w:sz w:val="24"/>
          <w:szCs w:val="24"/>
        </w:rPr>
        <w:t>communal</w:t>
      </w:r>
      <w:r w:rsidRPr="002A1B19">
        <w:rPr>
          <w:rFonts w:cs="Times New Roman"/>
          <w:sz w:val="24"/>
          <w:szCs w:val="24"/>
        </w:rPr>
        <w:t xml:space="preserve"> settlements with a population of 47,217 settlers, followed by </w:t>
      </w:r>
      <w:proofErr w:type="spellStart"/>
      <w:r w:rsidRPr="002A1B19">
        <w:rPr>
          <w:rFonts w:cs="Times New Roman"/>
          <w:sz w:val="24"/>
          <w:szCs w:val="24"/>
        </w:rPr>
        <w:t>Moshav</w:t>
      </w:r>
      <w:proofErr w:type="spellEnd"/>
      <w:r w:rsidRPr="002A1B19">
        <w:rPr>
          <w:rFonts w:cs="Times New Roman"/>
          <w:sz w:val="24"/>
          <w:szCs w:val="24"/>
        </w:rPr>
        <w:t xml:space="preserve"> </w:t>
      </w:r>
      <w:proofErr w:type="gramStart"/>
      <w:r w:rsidRPr="002A1B19">
        <w:rPr>
          <w:rFonts w:cs="Times New Roman"/>
          <w:sz w:val="24"/>
          <w:szCs w:val="24"/>
        </w:rPr>
        <w:t>settlements which</w:t>
      </w:r>
      <w:proofErr w:type="gramEnd"/>
      <w:r w:rsidRPr="002A1B19">
        <w:rPr>
          <w:rFonts w:cs="Times New Roman"/>
          <w:sz w:val="24"/>
          <w:szCs w:val="24"/>
        </w:rPr>
        <w:t xml:space="preserve"> are 17 settlements with a population of 5,994 settlers. (See Tables 9 and 10)</w:t>
      </w:r>
    </w:p>
    <w:p w:rsidR="002A1B19" w:rsidRDefault="002A1B19" w:rsidP="002A1B19">
      <w:pPr>
        <w:jc w:val="lowKashida"/>
        <w:rPr>
          <w:b/>
          <w:bCs/>
          <w:sz w:val="24"/>
          <w:szCs w:val="24"/>
        </w:rPr>
      </w:pPr>
    </w:p>
    <w:p w:rsidR="004F1CDA" w:rsidRDefault="00272772" w:rsidP="004F1CDA">
      <w:pPr>
        <w:jc w:val="lowKashida"/>
        <w:rPr>
          <w:b/>
          <w:bCs/>
          <w:sz w:val="24"/>
          <w:szCs w:val="24"/>
        </w:rPr>
      </w:pPr>
      <w:r>
        <w:rPr>
          <w:b/>
          <w:bCs/>
          <w:sz w:val="24"/>
          <w:szCs w:val="24"/>
        </w:rPr>
        <w:t>2.5 Regional Councils</w:t>
      </w:r>
    </w:p>
    <w:p w:rsidR="006711C2" w:rsidRDefault="006711C2" w:rsidP="00B739A7">
      <w:pPr>
        <w:jc w:val="both"/>
        <w:rPr>
          <w:sz w:val="24"/>
          <w:szCs w:val="24"/>
        </w:rPr>
      </w:pPr>
      <w:r>
        <w:rPr>
          <w:sz w:val="24"/>
          <w:szCs w:val="24"/>
        </w:rPr>
        <w:t xml:space="preserve">The regional councils are administrative authorities encompassing a number of settlements. Such </w:t>
      </w:r>
      <w:r w:rsidRPr="00B739A7">
        <w:rPr>
          <w:rFonts w:asciiTheme="majorBidi" w:hAnsiTheme="majorBidi" w:cstheme="majorBidi"/>
          <w:sz w:val="24"/>
          <w:szCs w:val="24"/>
        </w:rPr>
        <w:t>councils</w:t>
      </w:r>
      <w:r>
        <w:rPr>
          <w:sz w:val="24"/>
          <w:szCs w:val="24"/>
        </w:rPr>
        <w:t xml:space="preserve"> are represented by </w:t>
      </w:r>
      <w:proofErr w:type="spellStart"/>
      <w:r>
        <w:rPr>
          <w:sz w:val="24"/>
          <w:szCs w:val="24"/>
        </w:rPr>
        <w:t>Yesha</w:t>
      </w:r>
      <w:proofErr w:type="spellEnd"/>
      <w:r>
        <w:rPr>
          <w:sz w:val="24"/>
          <w:szCs w:val="24"/>
        </w:rPr>
        <w:t xml:space="preserve"> which is a high council representing the settlers in the West Bank.  However, </w:t>
      </w:r>
      <w:proofErr w:type="spellStart"/>
      <w:r>
        <w:rPr>
          <w:sz w:val="24"/>
          <w:szCs w:val="24"/>
        </w:rPr>
        <w:t>Yesha</w:t>
      </w:r>
      <w:proofErr w:type="spellEnd"/>
      <w:r>
        <w:rPr>
          <w:sz w:val="24"/>
          <w:szCs w:val="24"/>
        </w:rPr>
        <w:t xml:space="preserve"> does not represent J</w:t>
      </w:r>
      <w:r w:rsidRPr="007E1E57">
        <w:rPr>
          <w:sz w:val="24"/>
          <w:szCs w:val="24"/>
        </w:rPr>
        <w:t>1</w:t>
      </w:r>
      <w:r>
        <w:rPr>
          <w:sz w:val="24"/>
          <w:szCs w:val="24"/>
        </w:rPr>
        <w:t xml:space="preserve"> or the other formal settlements annexed to Israel. </w:t>
      </w:r>
    </w:p>
    <w:p w:rsidR="006711C2" w:rsidRDefault="006711C2" w:rsidP="006711C2">
      <w:pPr>
        <w:jc w:val="lowKashida"/>
        <w:rPr>
          <w:sz w:val="24"/>
          <w:szCs w:val="24"/>
        </w:rPr>
      </w:pPr>
    </w:p>
    <w:p w:rsidR="006711C2" w:rsidRDefault="006711C2" w:rsidP="00B739A7">
      <w:pPr>
        <w:jc w:val="both"/>
        <w:rPr>
          <w:sz w:val="24"/>
          <w:szCs w:val="24"/>
        </w:rPr>
      </w:pPr>
      <w:r>
        <w:rPr>
          <w:sz w:val="24"/>
          <w:szCs w:val="24"/>
        </w:rPr>
        <w:lastRenderedPageBreak/>
        <w:t xml:space="preserve">The following data represent the year 2019. There are </w:t>
      </w:r>
      <w:proofErr w:type="gramStart"/>
      <w:r>
        <w:rPr>
          <w:sz w:val="24"/>
          <w:szCs w:val="24"/>
        </w:rPr>
        <w:t>6</w:t>
      </w:r>
      <w:proofErr w:type="gramEnd"/>
      <w:r>
        <w:rPr>
          <w:sz w:val="24"/>
          <w:szCs w:val="24"/>
        </w:rPr>
        <w:t xml:space="preserve"> regional councils in the West Bank:</w:t>
      </w:r>
    </w:p>
    <w:p w:rsidR="006711C2" w:rsidRDefault="006711C2" w:rsidP="00B739A7">
      <w:pPr>
        <w:numPr>
          <w:ilvl w:val="0"/>
          <w:numId w:val="9"/>
        </w:numPr>
        <w:tabs>
          <w:tab w:val="clear" w:pos="648"/>
        </w:tabs>
        <w:ind w:left="538" w:right="0" w:hanging="181"/>
        <w:jc w:val="both"/>
        <w:rPr>
          <w:sz w:val="24"/>
          <w:szCs w:val="24"/>
        </w:rPr>
      </w:pPr>
      <w:proofErr w:type="spellStart"/>
      <w:r>
        <w:rPr>
          <w:sz w:val="24"/>
          <w:szCs w:val="24"/>
        </w:rPr>
        <w:t>Shomeron</w:t>
      </w:r>
      <w:proofErr w:type="spellEnd"/>
      <w:r>
        <w:rPr>
          <w:sz w:val="24"/>
          <w:szCs w:val="24"/>
        </w:rPr>
        <w:t>: The number of settlements represented by this regional council is 35 with a population of 108,129 settlers;</w:t>
      </w:r>
    </w:p>
    <w:p w:rsidR="006711C2" w:rsidRDefault="006711C2" w:rsidP="00B739A7">
      <w:pPr>
        <w:numPr>
          <w:ilvl w:val="0"/>
          <w:numId w:val="9"/>
        </w:numPr>
        <w:tabs>
          <w:tab w:val="clear" w:pos="648"/>
        </w:tabs>
        <w:ind w:left="538" w:right="0" w:hanging="181"/>
        <w:jc w:val="both"/>
        <w:rPr>
          <w:sz w:val="24"/>
          <w:szCs w:val="24"/>
        </w:rPr>
      </w:pPr>
      <w:proofErr w:type="spellStart"/>
      <w:r>
        <w:rPr>
          <w:sz w:val="24"/>
          <w:szCs w:val="24"/>
        </w:rPr>
        <w:t>Arvot</w:t>
      </w:r>
      <w:proofErr w:type="spellEnd"/>
      <w:r>
        <w:rPr>
          <w:sz w:val="24"/>
          <w:szCs w:val="24"/>
        </w:rPr>
        <w:t xml:space="preserve"> Ha </w:t>
      </w:r>
      <w:proofErr w:type="spellStart"/>
      <w:r>
        <w:rPr>
          <w:sz w:val="24"/>
          <w:szCs w:val="24"/>
        </w:rPr>
        <w:t>Yarden</w:t>
      </w:r>
      <w:proofErr w:type="spellEnd"/>
      <w:r>
        <w:rPr>
          <w:sz w:val="24"/>
          <w:szCs w:val="24"/>
        </w:rPr>
        <w:t xml:space="preserve"> (The Jordan Valley): The number of settlements represented by this regional council is 19 with a population of 6,173 settlers;</w:t>
      </w:r>
    </w:p>
    <w:p w:rsidR="006711C2" w:rsidRDefault="006711C2" w:rsidP="00B739A7">
      <w:pPr>
        <w:numPr>
          <w:ilvl w:val="0"/>
          <w:numId w:val="9"/>
        </w:numPr>
        <w:tabs>
          <w:tab w:val="clear" w:pos="648"/>
        </w:tabs>
        <w:ind w:left="538" w:right="0" w:hanging="181"/>
        <w:jc w:val="both"/>
        <w:rPr>
          <w:sz w:val="24"/>
          <w:szCs w:val="24"/>
        </w:rPr>
      </w:pPr>
      <w:r>
        <w:rPr>
          <w:sz w:val="24"/>
          <w:szCs w:val="24"/>
        </w:rPr>
        <w:t>Matte Binyamin: This council represents 32 settlements with a population of 210,306 settlers;</w:t>
      </w:r>
    </w:p>
    <w:p w:rsidR="006711C2" w:rsidRDefault="006711C2" w:rsidP="00B739A7">
      <w:pPr>
        <w:numPr>
          <w:ilvl w:val="0"/>
          <w:numId w:val="9"/>
        </w:numPr>
        <w:tabs>
          <w:tab w:val="clear" w:pos="648"/>
        </w:tabs>
        <w:ind w:left="538" w:right="0" w:hanging="181"/>
        <w:jc w:val="both"/>
        <w:rPr>
          <w:sz w:val="24"/>
          <w:szCs w:val="24"/>
        </w:rPr>
      </w:pPr>
      <w:proofErr w:type="spellStart"/>
      <w:r>
        <w:rPr>
          <w:sz w:val="24"/>
          <w:szCs w:val="24"/>
        </w:rPr>
        <w:t>Megilliot</w:t>
      </w:r>
      <w:proofErr w:type="spellEnd"/>
      <w:r>
        <w:rPr>
          <w:sz w:val="24"/>
          <w:szCs w:val="24"/>
        </w:rPr>
        <w:t>: The number of settlements represented by this regional council is 5 with a population of 1,590 settlers;</w:t>
      </w:r>
    </w:p>
    <w:p w:rsidR="006711C2" w:rsidRDefault="006711C2" w:rsidP="00B739A7">
      <w:pPr>
        <w:numPr>
          <w:ilvl w:val="0"/>
          <w:numId w:val="9"/>
        </w:numPr>
        <w:tabs>
          <w:tab w:val="clear" w:pos="648"/>
        </w:tabs>
        <w:ind w:left="538" w:right="0" w:hanging="181"/>
        <w:jc w:val="both"/>
        <w:rPr>
          <w:sz w:val="24"/>
          <w:szCs w:val="24"/>
        </w:rPr>
      </w:pPr>
      <w:r>
        <w:rPr>
          <w:sz w:val="24"/>
          <w:szCs w:val="24"/>
        </w:rPr>
        <w:t xml:space="preserve">Gosh </w:t>
      </w:r>
      <w:proofErr w:type="spellStart"/>
      <w:r>
        <w:rPr>
          <w:sz w:val="24"/>
          <w:szCs w:val="24"/>
        </w:rPr>
        <w:t>Ezyon</w:t>
      </w:r>
      <w:proofErr w:type="spellEnd"/>
      <w:r>
        <w:rPr>
          <w:sz w:val="24"/>
          <w:szCs w:val="24"/>
        </w:rPr>
        <w:t>: This council represents 16 settlements with a population of 94,474 settlers;</w:t>
      </w:r>
    </w:p>
    <w:p w:rsidR="006711C2" w:rsidRPr="008B6D0C" w:rsidRDefault="006711C2" w:rsidP="00B739A7">
      <w:pPr>
        <w:numPr>
          <w:ilvl w:val="0"/>
          <w:numId w:val="9"/>
        </w:numPr>
        <w:tabs>
          <w:tab w:val="clear" w:pos="648"/>
        </w:tabs>
        <w:ind w:left="538" w:right="0" w:hanging="181"/>
        <w:jc w:val="both"/>
        <w:rPr>
          <w:rFonts w:cs="Times New Roman"/>
          <w:sz w:val="24"/>
          <w:szCs w:val="24"/>
        </w:rPr>
      </w:pPr>
      <w:proofErr w:type="spellStart"/>
      <w:r w:rsidRPr="008B6D0C">
        <w:rPr>
          <w:rFonts w:cs="Times New Roman"/>
          <w:sz w:val="24"/>
          <w:szCs w:val="24"/>
        </w:rPr>
        <w:t>Har</w:t>
      </w:r>
      <w:proofErr w:type="spellEnd"/>
      <w:r w:rsidRPr="008B6D0C">
        <w:rPr>
          <w:rFonts w:cs="Times New Roman"/>
          <w:sz w:val="24"/>
          <w:szCs w:val="24"/>
        </w:rPr>
        <w:t xml:space="preserve"> </w:t>
      </w:r>
      <w:proofErr w:type="spellStart"/>
      <w:r w:rsidRPr="008B6D0C">
        <w:rPr>
          <w:rFonts w:cs="Times New Roman"/>
          <w:sz w:val="24"/>
          <w:szCs w:val="24"/>
        </w:rPr>
        <w:t>Hevron</w:t>
      </w:r>
      <w:proofErr w:type="spellEnd"/>
      <w:r w:rsidRPr="008B6D0C">
        <w:rPr>
          <w:rFonts w:cs="Times New Roman"/>
          <w:sz w:val="24"/>
          <w:szCs w:val="24"/>
        </w:rPr>
        <w:t xml:space="preserve"> (Mount Hebron): This council represents 15 formal settlements with a population of 16,</w:t>
      </w:r>
      <w:r>
        <w:rPr>
          <w:rFonts w:cs="Times New Roman"/>
          <w:sz w:val="24"/>
          <w:szCs w:val="24"/>
        </w:rPr>
        <w:t>561</w:t>
      </w:r>
      <w:r w:rsidRPr="008B6D0C">
        <w:rPr>
          <w:rFonts w:cs="Times New Roman"/>
          <w:sz w:val="24"/>
          <w:szCs w:val="24"/>
        </w:rPr>
        <w:t xml:space="preserve"> settlers</w:t>
      </w:r>
      <w:r>
        <w:rPr>
          <w:rFonts w:cs="Times New Roman"/>
          <w:sz w:val="24"/>
          <w:szCs w:val="24"/>
        </w:rPr>
        <w:t>.</w:t>
      </w:r>
      <w:r w:rsidRPr="008B6D0C">
        <w:rPr>
          <w:rFonts w:cs="Times New Roman"/>
          <w:sz w:val="24"/>
          <w:szCs w:val="24"/>
        </w:rPr>
        <w:t xml:space="preserve"> (</w:t>
      </w:r>
      <w:r>
        <w:rPr>
          <w:rFonts w:cs="Times New Roman"/>
          <w:sz w:val="24"/>
          <w:szCs w:val="24"/>
        </w:rPr>
        <w:t>S</w:t>
      </w:r>
      <w:r w:rsidRPr="008B6D0C">
        <w:rPr>
          <w:rFonts w:cs="Times New Roman"/>
          <w:sz w:val="24"/>
          <w:szCs w:val="24"/>
        </w:rPr>
        <w:t xml:space="preserve">ee </w:t>
      </w:r>
      <w:r>
        <w:rPr>
          <w:rFonts w:cs="Times New Roman"/>
          <w:sz w:val="24"/>
          <w:szCs w:val="24"/>
        </w:rPr>
        <w:t>T</w:t>
      </w:r>
      <w:r w:rsidRPr="008B6D0C">
        <w:rPr>
          <w:rFonts w:cs="Times New Roman"/>
          <w:sz w:val="24"/>
          <w:szCs w:val="24"/>
        </w:rPr>
        <w:t>ables 15 and</w:t>
      </w:r>
      <w:r>
        <w:rPr>
          <w:rFonts w:cs="Times New Roman"/>
          <w:sz w:val="24"/>
          <w:szCs w:val="24"/>
        </w:rPr>
        <w:t xml:space="preserve"> </w:t>
      </w:r>
      <w:r w:rsidRPr="008B6D0C">
        <w:rPr>
          <w:rFonts w:cs="Times New Roman"/>
          <w:sz w:val="24"/>
          <w:szCs w:val="24"/>
        </w:rPr>
        <w:t>16)</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Pr="004B3890" w:rsidRDefault="00F91174" w:rsidP="00F91174">
      <w:pPr>
        <w:jc w:val="lowKashida"/>
        <w:rPr>
          <w:b/>
          <w:bCs/>
          <w:sz w:val="18"/>
          <w:szCs w:val="18"/>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D31B33" w:rsidRDefault="00C93368" w:rsidP="00B739A7">
      <w:pPr>
        <w:pStyle w:val="BodyTextIndent2"/>
        <w:ind w:left="0"/>
        <w:jc w:val="left"/>
      </w:pPr>
      <w:r w:rsidRPr="00D166D2">
        <w:t xml:space="preserve">At the end of </w:t>
      </w:r>
      <w:r w:rsidR="000D61D3">
        <w:rPr>
          <w:rFonts w:cs="Times New Roman"/>
        </w:rPr>
        <w:t>201</w:t>
      </w:r>
      <w:r w:rsidR="00A91713">
        <w:rPr>
          <w:rFonts w:cs="Times New Roman"/>
        </w:rPr>
        <w:t>9</w:t>
      </w:r>
      <w:r w:rsidRPr="00D166D2">
        <w:t xml:space="preserve">, this area included 28 settlements with a population of </w:t>
      </w:r>
      <w:r w:rsidR="003F6EB0">
        <w:t>8</w:t>
      </w:r>
      <w:r w:rsidRPr="00D166D2">
        <w:t>,</w:t>
      </w:r>
      <w:r w:rsidR="00E467A7">
        <w:t>538</w:t>
      </w:r>
      <w:r w:rsidRPr="00D166D2">
        <w:t xml:space="preserve"> </w:t>
      </w:r>
      <w:r w:rsidR="00B83961" w:rsidRPr="00C603A9">
        <w:t>settlers</w:t>
      </w:r>
      <w:r w:rsidR="00B83961">
        <w:t xml:space="preserve"> </w:t>
      </w:r>
      <w:r w:rsidR="00B83961" w:rsidRPr="00C603A9">
        <w:t>represent</w:t>
      </w:r>
      <w:r w:rsidR="00B55485">
        <w:t>ing</w:t>
      </w:r>
      <w:r w:rsidR="00B83961" w:rsidRPr="00C603A9">
        <w:t xml:space="preserve"> </w:t>
      </w:r>
      <w:r w:rsidRPr="00D166D2">
        <w:t>1.</w:t>
      </w:r>
      <w:r w:rsidR="0018608E">
        <w:t>2</w:t>
      </w:r>
      <w:r w:rsidRPr="00D166D2">
        <w:t xml:space="preserve">% of all settlers in the </w:t>
      </w:r>
      <w:r w:rsidRPr="00D166D2">
        <w:rPr>
          <w:rFonts w:cs="Times New Roman"/>
        </w:rPr>
        <w:t>West Bank</w:t>
      </w:r>
      <w:r w:rsidRPr="00D166D2">
        <w:t>.</w:t>
      </w:r>
    </w:p>
    <w:p w:rsidR="00953976" w:rsidRPr="00C603A9" w:rsidRDefault="00953976" w:rsidP="00B83961">
      <w:pPr>
        <w:ind w:firstLine="720"/>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4C4F05">
      <w:pPr>
        <w:jc w:val="both"/>
        <w:rPr>
          <w:b/>
          <w:bCs/>
          <w:sz w:val="24"/>
          <w:szCs w:val="24"/>
        </w:rPr>
      </w:pPr>
      <w:r w:rsidRPr="00C603A9">
        <w:rPr>
          <w:sz w:val="24"/>
          <w:szCs w:val="24"/>
        </w:rPr>
        <w:t xml:space="preserve">At the end of </w:t>
      </w:r>
      <w:r w:rsidR="000D61D3">
        <w:rPr>
          <w:rFonts w:cs="Times New Roman"/>
          <w:sz w:val="24"/>
          <w:szCs w:val="24"/>
        </w:rPr>
        <w:t>201</w:t>
      </w:r>
      <w:r w:rsidR="00A91713">
        <w:rPr>
          <w:rFonts w:cs="Times New Roman"/>
          <w:sz w:val="24"/>
          <w:szCs w:val="24"/>
        </w:rPr>
        <w:t>9</w:t>
      </w:r>
      <w:r w:rsidRPr="00C603A9">
        <w:rPr>
          <w:sz w:val="24"/>
          <w:szCs w:val="24"/>
        </w:rPr>
        <w:t xml:space="preserve">, this area included </w:t>
      </w:r>
      <w:r w:rsidR="004C4F05">
        <w:rPr>
          <w:sz w:val="24"/>
          <w:szCs w:val="24"/>
        </w:rPr>
        <w:t>33</w:t>
      </w:r>
      <w:r w:rsidRPr="00C603A9">
        <w:rPr>
          <w:sz w:val="24"/>
          <w:szCs w:val="24"/>
        </w:rPr>
        <w:t xml:space="preserve"> settlements with a population of </w:t>
      </w:r>
      <w:r w:rsidR="004C4F05">
        <w:rPr>
          <w:sz w:val="24"/>
          <w:szCs w:val="24"/>
        </w:rPr>
        <w:t>61</w:t>
      </w:r>
      <w:r w:rsidR="00B031DF">
        <w:rPr>
          <w:sz w:val="24"/>
          <w:szCs w:val="24"/>
        </w:rPr>
        <w:t>,</w:t>
      </w:r>
      <w:r w:rsidR="004C4F05">
        <w:rPr>
          <w:sz w:val="24"/>
          <w:szCs w:val="24"/>
        </w:rPr>
        <w:t>171</w:t>
      </w:r>
      <w:r w:rsidRPr="00C603A9">
        <w:rPr>
          <w:sz w:val="24"/>
          <w:szCs w:val="24"/>
        </w:rPr>
        <w:t xml:space="preserve"> </w:t>
      </w:r>
      <w:r w:rsidR="00B83961" w:rsidRPr="00C603A9">
        <w:rPr>
          <w:sz w:val="24"/>
          <w:szCs w:val="24"/>
        </w:rPr>
        <w:t>settlers</w:t>
      </w:r>
      <w:r w:rsidR="00B83961">
        <w:rPr>
          <w:sz w:val="24"/>
          <w:szCs w:val="24"/>
        </w:rPr>
        <w:t xml:space="preserve"> </w:t>
      </w:r>
      <w:r w:rsidR="00B55485" w:rsidRPr="00B55485">
        <w:rPr>
          <w:sz w:val="24"/>
          <w:szCs w:val="24"/>
        </w:rPr>
        <w:t>representing</w:t>
      </w:r>
      <w:r w:rsidR="00B83961" w:rsidRPr="00C603A9">
        <w:rPr>
          <w:sz w:val="24"/>
          <w:szCs w:val="24"/>
        </w:rPr>
        <w:t xml:space="preserve"> </w:t>
      </w:r>
      <w:r w:rsidRPr="00C603A9">
        <w:rPr>
          <w:sz w:val="24"/>
          <w:szCs w:val="24"/>
        </w:rPr>
        <w:t>8.</w:t>
      </w:r>
      <w:r w:rsidR="00DF6308">
        <w:rPr>
          <w:sz w:val="24"/>
          <w:szCs w:val="24"/>
        </w:rPr>
        <w:t>9</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B55485">
      <w:pPr>
        <w:jc w:val="lowKashida"/>
        <w:rPr>
          <w:b/>
          <w:bCs/>
          <w:sz w:val="24"/>
          <w:szCs w:val="24"/>
        </w:rPr>
      </w:pPr>
      <w:r w:rsidRPr="00D166D2">
        <w:rPr>
          <w:sz w:val="24"/>
          <w:szCs w:val="24"/>
        </w:rPr>
        <w:t xml:space="preserve">At the end of </w:t>
      </w:r>
      <w:r w:rsidR="000D61D3">
        <w:rPr>
          <w:rFonts w:cs="Times New Roman"/>
          <w:sz w:val="24"/>
          <w:szCs w:val="24"/>
        </w:rPr>
        <w:t>201</w:t>
      </w:r>
      <w:r w:rsidR="00A91713">
        <w:rPr>
          <w:rFonts w:cs="Times New Roman"/>
          <w:sz w:val="24"/>
          <w:szCs w:val="24"/>
        </w:rPr>
        <w:t>9</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E467A7">
        <w:rPr>
          <w:sz w:val="24"/>
          <w:szCs w:val="24"/>
        </w:rPr>
        <w:t>214</w:t>
      </w:r>
      <w:r w:rsidR="003D1F9B">
        <w:rPr>
          <w:sz w:val="24"/>
          <w:szCs w:val="24"/>
        </w:rPr>
        <w:t>,</w:t>
      </w:r>
      <w:r w:rsidR="00E467A7">
        <w:rPr>
          <w:sz w:val="24"/>
          <w:szCs w:val="24"/>
        </w:rPr>
        <w:t>997</w:t>
      </w:r>
      <w:r w:rsidRPr="00D166D2">
        <w:rPr>
          <w:sz w:val="24"/>
          <w:szCs w:val="24"/>
        </w:rPr>
        <w:t xml:space="preserve"> </w:t>
      </w:r>
      <w:r w:rsidR="00B83961" w:rsidRPr="00C603A9">
        <w:rPr>
          <w:sz w:val="24"/>
          <w:szCs w:val="24"/>
        </w:rPr>
        <w:t>settlers</w:t>
      </w:r>
      <w:r w:rsidR="00B83961">
        <w:rPr>
          <w:sz w:val="24"/>
          <w:szCs w:val="24"/>
        </w:rPr>
        <w:t xml:space="preserve"> </w:t>
      </w:r>
      <w:r w:rsidR="00B55485" w:rsidRPr="00B55485">
        <w:rPr>
          <w:sz w:val="24"/>
          <w:szCs w:val="24"/>
        </w:rPr>
        <w:t xml:space="preserve">representing </w:t>
      </w:r>
      <w:r w:rsidR="003F6EB0">
        <w:rPr>
          <w:sz w:val="24"/>
          <w:szCs w:val="24"/>
        </w:rPr>
        <w:t>31</w:t>
      </w:r>
      <w:r w:rsidR="003D1F9B">
        <w:rPr>
          <w:sz w:val="24"/>
          <w:szCs w:val="24"/>
        </w:rPr>
        <w:t>.</w:t>
      </w:r>
      <w:r w:rsidR="00E467A7">
        <w:rPr>
          <w:sz w:val="24"/>
          <w:szCs w:val="24"/>
        </w:rPr>
        <w:t>2</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4F1CDA" w:rsidRDefault="006711C2" w:rsidP="00F91174">
      <w:pPr>
        <w:pStyle w:val="BodyTextIndent2"/>
        <w:ind w:left="0"/>
        <w:jc w:val="both"/>
      </w:pPr>
      <w:r w:rsidRPr="006711C2">
        <w:t>At the end of 2019, this area included 37 settlements with a population of 403,556 settlers representing 58.7% of all settlers in the West Bank. (See Tables 17 and 18)</w:t>
      </w:r>
    </w:p>
    <w:p w:rsidR="006711C2" w:rsidRDefault="006711C2"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1E0839" w:rsidRDefault="006711C2" w:rsidP="004C4F05">
      <w:pPr>
        <w:jc w:val="lowKashida"/>
        <w:rPr>
          <w:sz w:val="24"/>
          <w:szCs w:val="24"/>
        </w:rPr>
      </w:pPr>
      <w:r w:rsidRPr="006711C2">
        <w:rPr>
          <w:sz w:val="24"/>
          <w:szCs w:val="24"/>
        </w:rPr>
        <w:t xml:space="preserve">The settlers’ population in rural settlements is distributed among </w:t>
      </w:r>
      <w:r w:rsidR="004C4F05">
        <w:rPr>
          <w:sz w:val="24"/>
          <w:szCs w:val="24"/>
        </w:rPr>
        <w:t>90</w:t>
      </w:r>
      <w:r w:rsidRPr="006711C2">
        <w:rPr>
          <w:sz w:val="24"/>
          <w:szCs w:val="24"/>
        </w:rPr>
        <w:t xml:space="preserve"> settlements, including 29 religious settlements with a population of 31,128 settlers, 36 secular settlements with a population of 18,562 settlers, and </w:t>
      </w:r>
      <w:proofErr w:type="gramStart"/>
      <w:r w:rsidRPr="006711C2">
        <w:rPr>
          <w:sz w:val="24"/>
          <w:szCs w:val="24"/>
        </w:rPr>
        <w:t>4</w:t>
      </w:r>
      <w:proofErr w:type="gramEnd"/>
      <w:r w:rsidRPr="006711C2">
        <w:rPr>
          <w:sz w:val="24"/>
          <w:szCs w:val="24"/>
        </w:rPr>
        <w:t xml:space="preserve"> mixed settlements with a population of 5,292 settlers.  There are no available data with respect to religious ideology of the remaining settlements (See Tables 21 and 22).</w:t>
      </w:r>
    </w:p>
    <w:p w:rsidR="006711C2" w:rsidRDefault="006711C2"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153CA1" w:rsidRDefault="006711C2" w:rsidP="006711C2">
      <w:pPr>
        <w:jc w:val="lowKashida"/>
        <w:rPr>
          <w:sz w:val="24"/>
          <w:szCs w:val="24"/>
        </w:rPr>
      </w:pPr>
      <w:r w:rsidRPr="006711C2">
        <w:rPr>
          <w:sz w:val="24"/>
          <w:szCs w:val="24"/>
        </w:rPr>
        <w:t xml:space="preserve">This division applies to rural settlements. The majority of settlers living in rural settlements </w:t>
      </w:r>
      <w:proofErr w:type="gramStart"/>
      <w:r w:rsidRPr="006711C2">
        <w:rPr>
          <w:sz w:val="24"/>
          <w:szCs w:val="24"/>
        </w:rPr>
        <w:t>are affiliated</w:t>
      </w:r>
      <w:proofErr w:type="gramEnd"/>
      <w:r w:rsidRPr="006711C2">
        <w:rPr>
          <w:sz w:val="24"/>
          <w:szCs w:val="24"/>
        </w:rPr>
        <w:t xml:space="preserve"> with Amana Movement (33,030 settlers living in 30 settlements). (See Tables 23 and 24) </w:t>
      </w:r>
      <w:r w:rsidR="00DC48A1" w:rsidRPr="00C603A9">
        <w:rPr>
          <w:sz w:val="24"/>
          <w:szCs w:val="24"/>
        </w:rPr>
        <w:br w:type="page"/>
      </w:r>
    </w:p>
    <w:p w:rsidR="00345066" w:rsidRDefault="00345066">
      <w:pPr>
        <w:rPr>
          <w:sz w:val="24"/>
          <w:szCs w:val="24"/>
        </w:rPr>
      </w:pPr>
      <w:r>
        <w:rPr>
          <w:sz w:val="24"/>
          <w:szCs w:val="24"/>
        </w:rPr>
        <w:lastRenderedPageBreak/>
        <w:br w:type="page"/>
      </w:r>
    </w:p>
    <w:p w:rsidR="005E1E3C" w:rsidRPr="00345066" w:rsidRDefault="005E1E3C" w:rsidP="005E6DB3">
      <w:pPr>
        <w:jc w:val="center"/>
        <w:rPr>
          <w:sz w:val="24"/>
          <w:szCs w:val="24"/>
        </w:rPr>
      </w:pPr>
      <w:r w:rsidRPr="00345066">
        <w:rPr>
          <w:sz w:val="24"/>
          <w:szCs w:val="24"/>
        </w:rPr>
        <w:lastRenderedPageBreak/>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5E1E3C" w:rsidRPr="00C603A9" w:rsidRDefault="00E72254" w:rsidP="00E72254">
      <w:pPr>
        <w:ind w:left="45"/>
        <w:jc w:val="lowKashida"/>
        <w:rPr>
          <w:sz w:val="24"/>
          <w:szCs w:val="24"/>
        </w:rPr>
      </w:pPr>
      <w:r>
        <w:rPr>
          <w:sz w:val="24"/>
          <w:szCs w:val="24"/>
        </w:rPr>
        <w:t>In addition to the objectives behind producing this report, t</w:t>
      </w:r>
      <w:r w:rsidR="005E1E3C" w:rsidRPr="00C603A9">
        <w:rPr>
          <w:sz w:val="24"/>
          <w:szCs w:val="24"/>
        </w:rPr>
        <w:t xml:space="preserve">his </w:t>
      </w:r>
      <w:r>
        <w:rPr>
          <w:sz w:val="24"/>
          <w:szCs w:val="24"/>
        </w:rPr>
        <w:t>chapter</w:t>
      </w:r>
      <w:r w:rsidR="005E1E3C" w:rsidRPr="00C603A9">
        <w:rPr>
          <w:sz w:val="24"/>
          <w:szCs w:val="24"/>
        </w:rPr>
        <w:t xml:space="preserve"> presents the methodology used in data co</w:t>
      </w:r>
      <w:r>
        <w:rPr>
          <w:sz w:val="24"/>
          <w:szCs w:val="24"/>
        </w:rPr>
        <w:t>llection from different sources including</w:t>
      </w:r>
      <w:r w:rsidR="005E1E3C" w:rsidRPr="00C603A9">
        <w:rPr>
          <w:sz w:val="24"/>
          <w:szCs w:val="24"/>
        </w:rPr>
        <w:t xml:space="preserve"> Israel</w:t>
      </w:r>
      <w:r w:rsidR="00953976" w:rsidRPr="00C603A9">
        <w:rPr>
          <w:sz w:val="24"/>
          <w:szCs w:val="24"/>
        </w:rPr>
        <w:t xml:space="preserve">i Central Bureau of Statistics, </w:t>
      </w:r>
      <w:r w:rsidR="005E1E3C" w:rsidRPr="00C603A9">
        <w:rPr>
          <w:sz w:val="24"/>
          <w:szCs w:val="24"/>
        </w:rPr>
        <w:t>Jerusalem Institute for Israeli Studies</w:t>
      </w:r>
      <w:r w:rsidR="00E911FB">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r w:rsidR="00B47470">
        <w:rPr>
          <w:b/>
          <w:bCs/>
          <w:sz w:val="24"/>
          <w:szCs w:val="24"/>
        </w:rPr>
        <w:t>:</w:t>
      </w:r>
    </w:p>
    <w:p w:rsidR="00B47470" w:rsidRPr="00B47470" w:rsidRDefault="00B47470" w:rsidP="00B739A7">
      <w:pPr>
        <w:ind w:left="45"/>
        <w:jc w:val="both"/>
        <w:rPr>
          <w:sz w:val="24"/>
          <w:szCs w:val="24"/>
        </w:rPr>
      </w:pPr>
      <w:r w:rsidRPr="00B47470">
        <w:rPr>
          <w:sz w:val="24"/>
          <w:szCs w:val="24"/>
        </w:rPr>
        <w:t>1. To publish data on population and geographical indicators of Israeli settlements in the West Bank including number of settlers, level and nature of settlement, geographical distribution, prevalent ideology, and other related subjects.</w:t>
      </w:r>
    </w:p>
    <w:p w:rsidR="00F15323" w:rsidRDefault="00B47470" w:rsidP="00B739A7">
      <w:pPr>
        <w:ind w:left="45"/>
        <w:jc w:val="both"/>
        <w:rPr>
          <w:sz w:val="24"/>
          <w:szCs w:val="24"/>
        </w:rPr>
      </w:pPr>
      <w:r w:rsidRPr="00B47470">
        <w:rPr>
          <w:sz w:val="24"/>
          <w:szCs w:val="24"/>
        </w:rPr>
        <w:t xml:space="preserve">2. To create a database to provide data on </w:t>
      </w:r>
      <w:r w:rsidR="00F003CB">
        <w:rPr>
          <w:sz w:val="24"/>
          <w:szCs w:val="24"/>
        </w:rPr>
        <w:t>Israeli Settlements in the West Bank</w:t>
      </w:r>
      <w:r w:rsidRPr="00B47470">
        <w:rPr>
          <w:sz w:val="24"/>
          <w:szCs w:val="24"/>
        </w:rPr>
        <w:t>.</w:t>
      </w:r>
    </w:p>
    <w:p w:rsidR="00B47470" w:rsidRDefault="00B47470" w:rsidP="00B739A7">
      <w:pPr>
        <w:ind w:left="45"/>
        <w:jc w:val="both"/>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B47470" w:rsidRPr="00C603A9" w:rsidRDefault="00B47470" w:rsidP="00B739A7">
      <w:pPr>
        <w:ind w:left="45"/>
        <w:jc w:val="both"/>
        <w:rPr>
          <w:sz w:val="24"/>
          <w:szCs w:val="24"/>
        </w:rPr>
      </w:pPr>
      <w:r w:rsidRPr="00C603A9">
        <w:rPr>
          <w:sz w:val="24"/>
          <w:szCs w:val="24"/>
        </w:rPr>
        <w:t xml:space="preserve">Data of Israeli settlements include all the areas classified by the Palestinian Official sources as </w:t>
      </w:r>
      <w:r>
        <w:rPr>
          <w:sz w:val="24"/>
          <w:szCs w:val="24"/>
        </w:rPr>
        <w:t xml:space="preserve">the </w:t>
      </w:r>
      <w:r w:rsidRPr="00C603A9">
        <w:rPr>
          <w:sz w:val="24"/>
          <w:szCs w:val="24"/>
        </w:rPr>
        <w:t>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w:t>
      </w:r>
      <w:r>
        <w:rPr>
          <w:sz w:val="24"/>
          <w:szCs w:val="24"/>
        </w:rPr>
        <w:t xml:space="preserve">with </w:t>
      </w:r>
      <w:r w:rsidRPr="00C603A9">
        <w:rPr>
          <w:sz w:val="24"/>
          <w:szCs w:val="24"/>
        </w:rPr>
        <w:t xml:space="preserve">the </w:t>
      </w:r>
      <w:r>
        <w:rPr>
          <w:sz w:val="24"/>
          <w:szCs w:val="24"/>
        </w:rPr>
        <w:t>G</w:t>
      </w:r>
      <w:r w:rsidRPr="00C603A9">
        <w:rPr>
          <w:sz w:val="24"/>
          <w:szCs w:val="24"/>
        </w:rPr>
        <w:t xml:space="preserve">reen </w:t>
      </w:r>
      <w:r>
        <w:rPr>
          <w:sz w:val="24"/>
          <w:szCs w:val="24"/>
        </w:rPr>
        <w:t>L</w:t>
      </w:r>
      <w:r w:rsidRPr="00C603A9">
        <w:rPr>
          <w:sz w:val="24"/>
          <w:szCs w:val="24"/>
        </w:rPr>
        <w:t>ine in the West Bank.</w:t>
      </w:r>
    </w:p>
    <w:p w:rsidR="00B47470" w:rsidRPr="00C603A9" w:rsidRDefault="00B47470" w:rsidP="00B739A7">
      <w:pPr>
        <w:ind w:left="45"/>
        <w:jc w:val="both"/>
        <w:rPr>
          <w:sz w:val="24"/>
          <w:szCs w:val="24"/>
        </w:rPr>
      </w:pPr>
    </w:p>
    <w:p w:rsidR="00B47470" w:rsidRDefault="00B47470" w:rsidP="00B739A7">
      <w:pPr>
        <w:jc w:val="both"/>
        <w:rPr>
          <w:sz w:val="24"/>
          <w:szCs w:val="24"/>
        </w:rPr>
      </w:pPr>
      <w:r w:rsidRPr="00C603A9">
        <w:rPr>
          <w:sz w:val="24"/>
          <w:szCs w:val="24"/>
        </w:rPr>
        <w:t>The Israeli settlements database contains many fields necessary for the preparation of tables</w:t>
      </w:r>
      <w:r>
        <w:rPr>
          <w:sz w:val="24"/>
          <w:szCs w:val="24"/>
        </w:rPr>
        <w:t>.</w:t>
      </w:r>
      <w:r w:rsidRPr="00C603A9">
        <w:rPr>
          <w:sz w:val="24"/>
          <w:szCs w:val="24"/>
        </w:rPr>
        <w:t xml:space="preserve"> </w:t>
      </w:r>
      <w:r>
        <w:rPr>
          <w:sz w:val="24"/>
          <w:szCs w:val="24"/>
        </w:rPr>
        <w:t>T</w:t>
      </w:r>
      <w:r w:rsidRPr="00C603A9">
        <w:rPr>
          <w:sz w:val="24"/>
          <w:szCs w:val="24"/>
        </w:rPr>
        <w:t xml:space="preserve">his database </w:t>
      </w:r>
      <w:proofErr w:type="gramStart"/>
      <w:r w:rsidRPr="00C603A9">
        <w:rPr>
          <w:sz w:val="24"/>
          <w:szCs w:val="24"/>
        </w:rPr>
        <w:t>is updated</w:t>
      </w:r>
      <w:proofErr w:type="gramEnd"/>
      <w:r w:rsidRPr="00C603A9">
        <w:rPr>
          <w:sz w:val="24"/>
          <w:szCs w:val="24"/>
        </w:rPr>
        <w:t xml:space="preserve"> annually and statistical tables were extracted based on the updated data</w:t>
      </w:r>
      <w:r w:rsidRPr="00596923">
        <w:rPr>
          <w:sz w:val="24"/>
          <w:szCs w:val="24"/>
        </w:rPr>
        <w:t xml:space="preserve"> </w:t>
      </w:r>
      <w:r w:rsidRPr="00C603A9">
        <w:rPr>
          <w:sz w:val="24"/>
          <w:szCs w:val="24"/>
        </w:rPr>
        <w:t xml:space="preserve">as follows:  </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Updating the data relate</w:t>
      </w:r>
      <w:r>
        <w:rPr>
          <w:sz w:val="24"/>
          <w:szCs w:val="24"/>
        </w:rPr>
        <w:t>d</w:t>
      </w:r>
      <w:r w:rsidRPr="00C603A9">
        <w:rPr>
          <w:sz w:val="24"/>
          <w:szCs w:val="24"/>
        </w:rPr>
        <w:t xml:space="preserve"> to the population of each settlement and the classification of new fields as either updated or revised.</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Linking the population of each settlement with a population of attribution and the settlements for which data are </w:t>
      </w:r>
      <w:proofErr w:type="gramStart"/>
      <w:r w:rsidRPr="00C603A9">
        <w:rPr>
          <w:sz w:val="24"/>
          <w:szCs w:val="24"/>
        </w:rPr>
        <w:t>available;</w:t>
      </w:r>
      <w:proofErr w:type="gramEnd"/>
      <w:r w:rsidRPr="00C603A9">
        <w:rPr>
          <w:sz w:val="24"/>
          <w:szCs w:val="24"/>
        </w:rPr>
        <w:t xml:space="preserve"> </w:t>
      </w:r>
      <w:r w:rsidRPr="00C603A9">
        <w:rPr>
          <w:rFonts w:cs="Times New Roman"/>
          <w:sz w:val="24"/>
          <w:szCs w:val="24"/>
          <w:lang w:val="en-AU" w:eastAsia="en-AU"/>
        </w:rPr>
        <w:t>data are usually updated yearly by Israeli statistics.</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 xml:space="preserve">After updating the database, comprehensive editing and comparisons </w:t>
      </w:r>
      <w:proofErr w:type="gramStart"/>
      <w:r>
        <w:rPr>
          <w:sz w:val="24"/>
          <w:szCs w:val="24"/>
        </w:rPr>
        <w:t>are</w:t>
      </w:r>
      <w:r w:rsidRPr="00C603A9">
        <w:rPr>
          <w:sz w:val="24"/>
          <w:szCs w:val="24"/>
        </w:rPr>
        <w:t xml:space="preserve"> done</w:t>
      </w:r>
      <w:proofErr w:type="gramEnd"/>
      <w:r w:rsidRPr="00C603A9">
        <w:rPr>
          <w:sz w:val="24"/>
          <w:szCs w:val="24"/>
        </w:rPr>
        <w:t xml:space="preserve"> to examine the logic</w:t>
      </w:r>
      <w:r>
        <w:rPr>
          <w:sz w:val="24"/>
          <w:szCs w:val="24"/>
        </w:rPr>
        <w:t>ality</w:t>
      </w:r>
      <w:r w:rsidRPr="00C603A9">
        <w:rPr>
          <w:sz w:val="24"/>
          <w:szCs w:val="24"/>
        </w:rPr>
        <w:t xml:space="preserve"> and consistency of figures compared with previous data.</w:t>
      </w:r>
    </w:p>
    <w:p w:rsidR="00B47470" w:rsidRPr="00C603A9" w:rsidRDefault="00B47470" w:rsidP="00B739A7">
      <w:pPr>
        <w:numPr>
          <w:ilvl w:val="0"/>
          <w:numId w:val="5"/>
        </w:numPr>
        <w:tabs>
          <w:tab w:val="clear" w:pos="360"/>
        </w:tabs>
        <w:ind w:left="426" w:hanging="284"/>
        <w:jc w:val="both"/>
        <w:rPr>
          <w:sz w:val="24"/>
          <w:szCs w:val="24"/>
        </w:rPr>
      </w:pPr>
      <w:r w:rsidRPr="00C603A9">
        <w:rPr>
          <w:sz w:val="24"/>
          <w:szCs w:val="24"/>
        </w:rPr>
        <w:t>Matching results in the database with results in the original sources and within the same geographic area.</w:t>
      </w:r>
    </w:p>
    <w:p w:rsidR="00B47470" w:rsidRDefault="00B47470" w:rsidP="00B739A7">
      <w:pPr>
        <w:numPr>
          <w:ilvl w:val="0"/>
          <w:numId w:val="5"/>
        </w:numPr>
        <w:tabs>
          <w:tab w:val="clear" w:pos="360"/>
        </w:tabs>
        <w:ind w:left="426" w:hanging="284"/>
        <w:jc w:val="both"/>
        <w:rPr>
          <w:sz w:val="24"/>
          <w:szCs w:val="24"/>
        </w:rPr>
      </w:pPr>
      <w:r>
        <w:rPr>
          <w:sz w:val="24"/>
          <w:szCs w:val="24"/>
        </w:rPr>
        <w:t>Tabulation</w:t>
      </w:r>
      <w:r w:rsidRPr="00C6447F">
        <w:rPr>
          <w:sz w:val="24"/>
          <w:szCs w:val="24"/>
        </w:rPr>
        <w:t xml:space="preserve"> and verification of results.</w:t>
      </w:r>
    </w:p>
    <w:p w:rsidR="00D202FB" w:rsidRDefault="00D202FB" w:rsidP="00D202FB">
      <w:pPr>
        <w:ind w:right="360"/>
        <w:jc w:val="lowKashida"/>
        <w:rPr>
          <w:sz w:val="24"/>
          <w:szCs w:val="24"/>
        </w:rPr>
      </w:pPr>
    </w:p>
    <w:p w:rsidR="00D202FB" w:rsidRPr="00C603A9" w:rsidRDefault="00D202FB" w:rsidP="00D202FB">
      <w:pPr>
        <w:ind w:left="45"/>
        <w:jc w:val="lowKashida"/>
        <w:rPr>
          <w:sz w:val="24"/>
          <w:szCs w:val="24"/>
        </w:rPr>
      </w:pPr>
      <w:r w:rsidRPr="00C603A9">
        <w:rPr>
          <w:sz w:val="24"/>
          <w:szCs w:val="24"/>
        </w:rPr>
        <w:t xml:space="preserve">Figures in </w:t>
      </w:r>
      <w:r>
        <w:rPr>
          <w:sz w:val="24"/>
          <w:szCs w:val="24"/>
        </w:rPr>
        <w:t>this</w:t>
      </w:r>
      <w:r w:rsidRPr="00C603A9">
        <w:rPr>
          <w:sz w:val="24"/>
          <w:szCs w:val="24"/>
        </w:rPr>
        <w:t xml:space="preserve"> </w:t>
      </w:r>
      <w:r>
        <w:rPr>
          <w:sz w:val="24"/>
          <w:szCs w:val="24"/>
        </w:rPr>
        <w:t>r</w:t>
      </w:r>
      <w:r w:rsidRPr="00C603A9">
        <w:rPr>
          <w:sz w:val="24"/>
          <w:szCs w:val="24"/>
        </w:rPr>
        <w:t xml:space="preserve">eport </w:t>
      </w:r>
      <w:proofErr w:type="gramStart"/>
      <w:r>
        <w:rPr>
          <w:sz w:val="24"/>
          <w:szCs w:val="24"/>
        </w:rPr>
        <w:t>are</w:t>
      </w:r>
      <w:r w:rsidRPr="00C603A9">
        <w:rPr>
          <w:sz w:val="24"/>
          <w:szCs w:val="24"/>
        </w:rPr>
        <w:t xml:space="preserve"> based</w:t>
      </w:r>
      <w:proofErr w:type="gramEnd"/>
      <w:r w:rsidRPr="00C603A9">
        <w:rPr>
          <w:sz w:val="24"/>
          <w:szCs w:val="24"/>
        </w:rPr>
        <w:t xml:space="preserve"> on the database created to </w:t>
      </w:r>
      <w:r>
        <w:rPr>
          <w:sz w:val="24"/>
          <w:szCs w:val="24"/>
        </w:rPr>
        <w:t>provide</w:t>
      </w:r>
      <w:r w:rsidRPr="00C603A9">
        <w:rPr>
          <w:sz w:val="24"/>
          <w:szCs w:val="24"/>
        </w:rPr>
        <w:t xml:space="preserve"> data </w:t>
      </w:r>
      <w:r>
        <w:rPr>
          <w:sz w:val="24"/>
          <w:szCs w:val="24"/>
        </w:rPr>
        <w:t>on</w:t>
      </w:r>
      <w:r w:rsidRPr="00C603A9">
        <w:rPr>
          <w:sz w:val="24"/>
          <w:szCs w:val="24"/>
        </w:rPr>
        <w:t xml:space="preserve"> </w:t>
      </w:r>
      <w:r w:rsidR="00F003CB">
        <w:rPr>
          <w:sz w:val="24"/>
          <w:szCs w:val="24"/>
        </w:rPr>
        <w:t>Israeli Settlements in the West Bank</w:t>
      </w:r>
      <w:r>
        <w:rPr>
          <w:sz w:val="24"/>
          <w:szCs w:val="24"/>
        </w:rPr>
        <w:t>, which depends on the following 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5E1E3C" w:rsidRDefault="00D202FB" w:rsidP="00F003CB">
      <w:pPr>
        <w:ind w:left="45"/>
        <w:jc w:val="lowKashida"/>
        <w:rPr>
          <w:sz w:val="24"/>
          <w:szCs w:val="24"/>
        </w:rPr>
      </w:pPr>
      <w:r w:rsidRPr="00D202FB">
        <w:rPr>
          <w:sz w:val="24"/>
          <w:szCs w:val="24"/>
        </w:rPr>
        <w:t xml:space="preserve">Starting in 2002, PCBS has created and developed a database including all the </w:t>
      </w:r>
      <w:r w:rsidR="00F003CB">
        <w:rPr>
          <w:sz w:val="24"/>
          <w:szCs w:val="24"/>
        </w:rPr>
        <w:t xml:space="preserve">Israeli Settlements in </w:t>
      </w:r>
      <w:r w:rsidR="00F003CB" w:rsidRPr="00F003CB">
        <w:rPr>
          <w:sz w:val="24"/>
          <w:szCs w:val="24"/>
        </w:rPr>
        <w:t>Palestine</w:t>
      </w:r>
      <w:r w:rsidRPr="00D202FB">
        <w:rPr>
          <w:sz w:val="24"/>
          <w:szCs w:val="24"/>
        </w:rPr>
        <w:t xml:space="preserve">. The database </w:t>
      </w:r>
      <w:proofErr w:type="gramStart"/>
      <w:r w:rsidRPr="00D202FB">
        <w:rPr>
          <w:sz w:val="24"/>
          <w:szCs w:val="24"/>
        </w:rPr>
        <w:t>is continuously updated</w:t>
      </w:r>
      <w:proofErr w:type="gramEnd"/>
      <w:r w:rsidRPr="00D202FB">
        <w:rPr>
          <w:sz w:val="24"/>
          <w:szCs w:val="24"/>
        </w:rPr>
        <w:t xml:space="preserve"> using various data sources, such as the Palestinian Ministry of Planning and a number of Palestinian and Israeli sources, in addition to estimates based on statistical assumptions.</w:t>
      </w:r>
    </w:p>
    <w:p w:rsidR="00D202FB" w:rsidRPr="00C603A9" w:rsidRDefault="00D202FB"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D202FB" w:rsidRPr="00D202FB" w:rsidRDefault="00D202FB" w:rsidP="00D202FB">
      <w:pPr>
        <w:ind w:left="45"/>
        <w:rPr>
          <w:sz w:val="24"/>
          <w:szCs w:val="24"/>
        </w:rPr>
      </w:pPr>
      <w:r w:rsidRPr="00D202FB">
        <w:rPr>
          <w:sz w:val="24"/>
          <w:szCs w:val="24"/>
        </w:rPr>
        <w:t>ICBS represents the main source of data on the annual population of Israeli settlements and the establishment date of settlements, the type of settlements, regional council and institutional affiliations.</w:t>
      </w:r>
    </w:p>
    <w:p w:rsidR="00D202FB" w:rsidRPr="00D202FB" w:rsidRDefault="00D202FB" w:rsidP="00D202FB">
      <w:pPr>
        <w:ind w:left="45"/>
        <w:rPr>
          <w:sz w:val="24"/>
          <w:szCs w:val="24"/>
        </w:rPr>
      </w:pPr>
    </w:p>
    <w:p w:rsidR="002B6009" w:rsidRDefault="00D202FB" w:rsidP="00D202FB">
      <w:pPr>
        <w:ind w:left="45"/>
        <w:jc w:val="lowKashida"/>
        <w:rPr>
          <w:b/>
          <w:bCs/>
          <w:sz w:val="24"/>
          <w:szCs w:val="24"/>
        </w:rPr>
      </w:pPr>
      <w:r w:rsidRPr="00D202FB">
        <w:rPr>
          <w:sz w:val="24"/>
          <w:szCs w:val="24"/>
        </w:rPr>
        <w:t xml:space="preserve">It </w:t>
      </w:r>
      <w:proofErr w:type="gramStart"/>
      <w:r w:rsidRPr="00D202FB">
        <w:rPr>
          <w:sz w:val="24"/>
          <w:szCs w:val="24"/>
        </w:rPr>
        <w:t>should be noted</w:t>
      </w:r>
      <w:proofErr w:type="gramEnd"/>
      <w:r w:rsidRPr="00D202FB">
        <w:rPr>
          <w:sz w:val="24"/>
          <w:szCs w:val="24"/>
        </w:rPr>
        <w:t xml:space="preserve"> that this data source only covers Israeli settlements located in the West Bank. There is no data on settlements in Jerusalem area (J1).</w:t>
      </w:r>
    </w:p>
    <w:p w:rsidR="00241F73"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lastRenderedPageBreak/>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953976" w:rsidRDefault="00D202FB" w:rsidP="005E1E3C">
      <w:pPr>
        <w:ind w:left="45"/>
        <w:jc w:val="lowKashida"/>
        <w:rPr>
          <w:sz w:val="24"/>
          <w:szCs w:val="24"/>
        </w:rPr>
      </w:pPr>
      <w:r w:rsidRPr="00D202FB">
        <w:rPr>
          <w:sz w:val="24"/>
          <w:szCs w:val="24"/>
        </w:rPr>
        <w:t>FMEP represents the main source of data on the annual population of Israeli settlements with a population of less than 5,000</w:t>
      </w:r>
    </w:p>
    <w:p w:rsidR="00D202FB" w:rsidRPr="00C603A9" w:rsidRDefault="00D202FB"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5E1E3C" w:rsidRPr="00522476" w:rsidRDefault="00D202FB" w:rsidP="005E1E3C">
      <w:pPr>
        <w:jc w:val="lowKashida"/>
        <w:rPr>
          <w:b/>
          <w:bCs/>
          <w:sz w:val="24"/>
          <w:szCs w:val="24"/>
        </w:rPr>
      </w:pPr>
      <w:r w:rsidRPr="00D202FB">
        <w:rPr>
          <w:sz w:val="24"/>
          <w:szCs w:val="24"/>
        </w:rPr>
        <w:t>The Jerusalem Institute for Israeli Studies represents the main source for data on settlers' population of the settlements located in Jerusalem area (J1).</w:t>
      </w: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4B3890" w:rsidRDefault="004B3890">
      <w:pPr>
        <w:rPr>
          <w:sz w:val="24"/>
          <w:szCs w:val="24"/>
        </w:rPr>
      </w:pPr>
      <w:r>
        <w:rPr>
          <w:b/>
          <w:bCs/>
          <w:sz w:val="24"/>
          <w:szCs w:val="24"/>
        </w:rPr>
        <w:br w:type="page"/>
      </w:r>
    </w:p>
    <w:p w:rsidR="00241F73" w:rsidRPr="00C603A9" w:rsidRDefault="00241F73" w:rsidP="00241F73">
      <w:pPr>
        <w:pStyle w:val="Title"/>
        <w:rPr>
          <w:b w:val="0"/>
          <w:bCs w:val="0"/>
          <w:sz w:val="24"/>
          <w:szCs w:val="24"/>
        </w:rPr>
      </w:pPr>
      <w:r w:rsidRPr="00C603A9">
        <w:rPr>
          <w:b w:val="0"/>
          <w:bCs w:val="0"/>
          <w:sz w:val="24"/>
          <w:szCs w:val="24"/>
        </w:rPr>
        <w:lastRenderedPageBreak/>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FE2948" w:rsidRPr="00FE2948" w:rsidRDefault="00FE2948" w:rsidP="00FE2948">
      <w:pPr>
        <w:jc w:val="both"/>
        <w:rPr>
          <w:sz w:val="24"/>
          <w:szCs w:val="24"/>
        </w:rPr>
      </w:pPr>
      <w:r w:rsidRPr="00FE2948">
        <w:rPr>
          <w:sz w:val="24"/>
          <w:szCs w:val="24"/>
        </w:rPr>
        <w:t xml:space="preserve">The preparation and dissemination of documented and updated statistics related to Israeli settlements in the West Bank </w:t>
      </w:r>
      <w:proofErr w:type="gramStart"/>
      <w:r w:rsidRPr="00FE2948">
        <w:rPr>
          <w:sz w:val="24"/>
          <w:szCs w:val="24"/>
        </w:rPr>
        <w:t>is extremely needed</w:t>
      </w:r>
      <w:proofErr w:type="gramEnd"/>
      <w:r w:rsidRPr="00FE2948">
        <w:rPr>
          <w:sz w:val="24"/>
          <w:szCs w:val="24"/>
        </w:rPr>
        <w:t xml:space="preserve"> as a major tool for </w:t>
      </w:r>
      <w:r w:rsidR="00E63D98" w:rsidRPr="00FE2948">
        <w:rPr>
          <w:sz w:val="24"/>
          <w:szCs w:val="24"/>
        </w:rPr>
        <w:t>decision makers</w:t>
      </w:r>
      <w:r w:rsidRPr="00FE2948">
        <w:rPr>
          <w:sz w:val="24"/>
          <w:szCs w:val="24"/>
        </w:rPr>
        <w:t>. Thus, PCBS has undertaken the provision of statistical data on Israeli settlements in the West Bank, in terms of the demographic features of the settlements under question. The collected data is a reference material for analytical studies dealing with the future prospects of the settlements’ communities, and a step for developing a comprehensive database with respect to the settlements issue, and eventually it will be an information tool in the hands of all those who are interested, including strategic planners, decision-makers and researchers.</w:t>
      </w:r>
    </w:p>
    <w:p w:rsidR="00FE2948" w:rsidRPr="00FE2948" w:rsidRDefault="00FE2948" w:rsidP="00FE2948">
      <w:pPr>
        <w:rPr>
          <w:sz w:val="24"/>
          <w:szCs w:val="24"/>
        </w:rPr>
      </w:pPr>
    </w:p>
    <w:p w:rsidR="00241F73" w:rsidRDefault="00FE2948" w:rsidP="00B739A7">
      <w:pPr>
        <w:jc w:val="both"/>
        <w:rPr>
          <w:sz w:val="24"/>
          <w:szCs w:val="24"/>
        </w:rPr>
      </w:pPr>
      <w:r w:rsidRPr="00FE2948">
        <w:rPr>
          <w:sz w:val="24"/>
          <w:szCs w:val="24"/>
        </w:rPr>
        <w:t>PCBS obtained data based on the constant annual growth rate of the last two years in estimating the population of the Israeli settlements in East Jerusalem in 2019. Due to the unusual dimension of population growth, the sources of this growth cannot respond to hypotheses including demographic exceptions, and particularly the flow of immigration or political trends that lead to discrepancies in population levels. However, the general estimates of number of settlers in the Israeli settlements at the level of the West Bank are statistically accurate and reflect a margin error of   6%.</w:t>
      </w:r>
    </w:p>
    <w:p w:rsidR="00FE2948" w:rsidRDefault="00FE2948" w:rsidP="00FE2948">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FE2948" w:rsidRPr="008A54A9" w:rsidRDefault="00FE2948" w:rsidP="00B739A7">
      <w:pPr>
        <w:pStyle w:val="ListParagraph"/>
        <w:numPr>
          <w:ilvl w:val="0"/>
          <w:numId w:val="15"/>
        </w:numPr>
        <w:ind w:left="567" w:hanging="283"/>
        <w:jc w:val="both"/>
        <w:rPr>
          <w:sz w:val="24"/>
          <w:szCs w:val="24"/>
          <w:rtl/>
        </w:rPr>
      </w:pPr>
      <w:r w:rsidRPr="008A54A9">
        <w:rPr>
          <w:sz w:val="24"/>
          <w:szCs w:val="24"/>
        </w:rPr>
        <w:t xml:space="preserve">Data are for the period up to the end of </w:t>
      </w:r>
      <w:r>
        <w:rPr>
          <w:sz w:val="24"/>
          <w:szCs w:val="24"/>
        </w:rPr>
        <w:t>2019,</w:t>
      </w:r>
      <w:r w:rsidRPr="008A54A9">
        <w:rPr>
          <w:sz w:val="24"/>
          <w:szCs w:val="24"/>
        </w:rPr>
        <w:t xml:space="preserve"> unless otherwise stated.</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Statistics presented in this report </w:t>
      </w:r>
      <w:proofErr w:type="gramStart"/>
      <w:r w:rsidRPr="008A54A9">
        <w:rPr>
          <w:sz w:val="24"/>
          <w:szCs w:val="24"/>
        </w:rPr>
        <w:t>are derived</w:t>
      </w:r>
      <w:proofErr w:type="gramEnd"/>
      <w:r w:rsidRPr="008A54A9">
        <w:rPr>
          <w:sz w:val="24"/>
          <w:szCs w:val="24"/>
        </w:rPr>
        <w:t xml:space="preserve"> from various sources, which are not fully consistent</w:t>
      </w:r>
      <w:r>
        <w:rPr>
          <w:sz w:val="24"/>
          <w:szCs w:val="24"/>
        </w:rPr>
        <w:t>; thus,</w:t>
      </w:r>
      <w:r w:rsidRPr="008A54A9">
        <w:rPr>
          <w:sz w:val="24"/>
          <w:szCs w:val="24"/>
        </w:rPr>
        <w:t xml:space="preserve"> this should be taken into consideration.</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Estimating </w:t>
      </w:r>
      <w:r>
        <w:rPr>
          <w:sz w:val="24"/>
          <w:szCs w:val="24"/>
        </w:rPr>
        <w:t xml:space="preserve">the </w:t>
      </w:r>
      <w:r w:rsidRPr="008A54A9">
        <w:rPr>
          <w:sz w:val="24"/>
          <w:szCs w:val="24"/>
        </w:rPr>
        <w:t xml:space="preserve">number of Israeli </w:t>
      </w:r>
      <w:r>
        <w:rPr>
          <w:sz w:val="24"/>
          <w:szCs w:val="24"/>
        </w:rPr>
        <w:t>s</w:t>
      </w:r>
      <w:r w:rsidRPr="008A54A9">
        <w:rPr>
          <w:sz w:val="24"/>
          <w:szCs w:val="24"/>
        </w:rPr>
        <w:t xml:space="preserve">ettlers in </w:t>
      </w:r>
      <w:r>
        <w:rPr>
          <w:sz w:val="24"/>
          <w:szCs w:val="24"/>
        </w:rPr>
        <w:t>s</w:t>
      </w:r>
      <w:r w:rsidRPr="008A54A9">
        <w:rPr>
          <w:sz w:val="24"/>
          <w:szCs w:val="24"/>
        </w:rPr>
        <w:t>ettlements located in J1</w:t>
      </w:r>
      <w:r>
        <w:rPr>
          <w:sz w:val="24"/>
          <w:szCs w:val="24"/>
        </w:rPr>
        <w:t xml:space="preserve"> in</w:t>
      </w:r>
      <w:r w:rsidRPr="008A54A9">
        <w:rPr>
          <w:sz w:val="24"/>
          <w:szCs w:val="24"/>
        </w:rPr>
        <w:t xml:space="preserve"> </w:t>
      </w:r>
      <w:r>
        <w:rPr>
          <w:sz w:val="24"/>
          <w:szCs w:val="24"/>
        </w:rPr>
        <w:t>2019</w:t>
      </w:r>
      <w:r w:rsidRPr="008A54A9">
        <w:rPr>
          <w:sz w:val="24"/>
          <w:szCs w:val="24"/>
        </w:rPr>
        <w:t xml:space="preserve"> </w:t>
      </w:r>
      <w:proofErr w:type="gramStart"/>
      <w:r w:rsidRPr="008A54A9">
        <w:rPr>
          <w:sz w:val="24"/>
          <w:szCs w:val="24"/>
        </w:rPr>
        <w:t>is based</w:t>
      </w:r>
      <w:proofErr w:type="gramEnd"/>
      <w:r w:rsidRPr="008A54A9">
        <w:rPr>
          <w:sz w:val="24"/>
          <w:szCs w:val="24"/>
        </w:rPr>
        <w:t xml:space="preserve"> on the constant annual growth rate of the </w:t>
      </w:r>
      <w:r>
        <w:rPr>
          <w:sz w:val="24"/>
          <w:szCs w:val="24"/>
        </w:rPr>
        <w:t>last</w:t>
      </w:r>
      <w:r w:rsidRPr="008A54A9">
        <w:rPr>
          <w:sz w:val="24"/>
          <w:szCs w:val="24"/>
        </w:rPr>
        <w:t xml:space="preserve"> two years.</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There is a lack of coverage </w:t>
      </w:r>
      <w:r>
        <w:rPr>
          <w:sz w:val="24"/>
          <w:szCs w:val="24"/>
        </w:rPr>
        <w:t>on</w:t>
      </w:r>
      <w:r w:rsidRPr="008A54A9">
        <w:rPr>
          <w:sz w:val="24"/>
          <w:szCs w:val="24"/>
        </w:rPr>
        <w:t xml:space="preserve"> some data from all sources.</w:t>
      </w:r>
    </w:p>
    <w:p w:rsidR="00FE2948" w:rsidRPr="008A54A9" w:rsidRDefault="00FE2948" w:rsidP="00B739A7">
      <w:pPr>
        <w:pStyle w:val="ListParagraph"/>
        <w:numPr>
          <w:ilvl w:val="0"/>
          <w:numId w:val="15"/>
        </w:numPr>
        <w:ind w:left="567" w:hanging="283"/>
        <w:jc w:val="both"/>
        <w:rPr>
          <w:sz w:val="24"/>
          <w:szCs w:val="24"/>
        </w:rPr>
      </w:pPr>
      <w:r w:rsidRPr="008A54A9">
        <w:rPr>
          <w:sz w:val="24"/>
          <w:szCs w:val="24"/>
        </w:rPr>
        <w:t xml:space="preserve">Data derived from the publications of the Israel Central Bureau of Statistics do not include those parts of </w:t>
      </w:r>
      <w:proofErr w:type="gramStart"/>
      <w:r w:rsidRPr="008A54A9">
        <w:rPr>
          <w:sz w:val="24"/>
          <w:szCs w:val="24"/>
        </w:rPr>
        <w:t>Jerusalem which</w:t>
      </w:r>
      <w:proofErr w:type="gramEnd"/>
      <w:r w:rsidRPr="008A54A9">
        <w:rPr>
          <w:sz w:val="24"/>
          <w:szCs w:val="24"/>
        </w:rPr>
        <w:t xml:space="preserve"> were annexed by Israeli occupation in 1967, in addition to settlements annexed by Israel from Ramallah and Al-</w:t>
      </w:r>
      <w:proofErr w:type="spellStart"/>
      <w:r w:rsidRPr="008A54A9">
        <w:rPr>
          <w:sz w:val="24"/>
          <w:szCs w:val="24"/>
        </w:rPr>
        <w:t>Bireh</w:t>
      </w:r>
      <w:proofErr w:type="spellEnd"/>
      <w:r w:rsidRPr="008A54A9">
        <w:rPr>
          <w:sz w:val="24"/>
          <w:szCs w:val="24"/>
        </w:rPr>
        <w:t xml:space="preserve"> or Hebron governorates.</w:t>
      </w:r>
    </w:p>
    <w:p w:rsidR="00F62107" w:rsidRDefault="00FE2948" w:rsidP="00B739A7">
      <w:pPr>
        <w:pStyle w:val="ListParagraph"/>
        <w:numPr>
          <w:ilvl w:val="0"/>
          <w:numId w:val="15"/>
        </w:numPr>
        <w:ind w:left="567" w:hanging="283"/>
        <w:jc w:val="both"/>
        <w:rPr>
          <w:sz w:val="24"/>
          <w:szCs w:val="24"/>
        </w:rPr>
      </w:pPr>
      <w:r w:rsidRPr="008A54A9">
        <w:rPr>
          <w:sz w:val="24"/>
          <w:szCs w:val="24"/>
        </w:rPr>
        <w:t xml:space="preserve">Definitions of Israeli </w:t>
      </w:r>
      <w:r>
        <w:rPr>
          <w:sz w:val="24"/>
          <w:szCs w:val="24"/>
        </w:rPr>
        <w:t>s</w:t>
      </w:r>
      <w:r w:rsidRPr="008A54A9">
        <w:rPr>
          <w:sz w:val="24"/>
          <w:szCs w:val="24"/>
        </w:rPr>
        <w:t>ettlements in terms of types are defined according to Israeli statistics</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534B20">
      <w:pPr>
        <w:pStyle w:val="BodyText2"/>
        <w:numPr>
          <w:ilvl w:val="0"/>
          <w:numId w:val="6"/>
        </w:numPr>
        <w:spacing w:before="120"/>
        <w:ind w:right="0"/>
      </w:pPr>
      <w:r w:rsidRPr="00C603A9">
        <w:t xml:space="preserve">Palestinian Central Bureau of Statistics, </w:t>
      </w:r>
      <w:r w:rsidR="00534B20">
        <w:t>2020</w:t>
      </w:r>
      <w:r w:rsidRPr="00C603A9">
        <w:t>.  Israeli Colonizing and Land Grab Database (Unpublished Data). Ramallah- Palestine.</w:t>
      </w:r>
    </w:p>
    <w:p w:rsidR="00555A17" w:rsidRDefault="00555A17" w:rsidP="00534B20">
      <w:pPr>
        <w:pStyle w:val="BodyText2"/>
        <w:numPr>
          <w:ilvl w:val="0"/>
          <w:numId w:val="6"/>
        </w:numPr>
        <w:spacing w:before="120"/>
        <w:ind w:right="0"/>
      </w:pPr>
      <w:r>
        <w:t xml:space="preserve">Palestinian Central Bureau of Statistics, </w:t>
      </w:r>
      <w:r w:rsidR="00534B20">
        <w:rPr>
          <w:rFonts w:hint="cs"/>
          <w:rtl/>
        </w:rPr>
        <w:t>2020</w:t>
      </w:r>
      <w:r>
        <w:t xml:space="preserve">. Estimates based on the </w:t>
      </w:r>
      <w:proofErr w:type="gramStart"/>
      <w:r>
        <w:t>final results</w:t>
      </w:r>
      <w:proofErr w:type="gramEnd"/>
      <w:r>
        <w:t xml:space="preserve"> of Population, Housing and Establishment Census </w:t>
      </w:r>
      <w:r w:rsidRPr="00555A17">
        <w:t>2017</w:t>
      </w:r>
      <w:r>
        <w:t>. Ramallah-Palestine</w:t>
      </w:r>
    </w:p>
    <w:p w:rsidR="005E1E3C" w:rsidRPr="00C603A9" w:rsidRDefault="005E1E3C" w:rsidP="00BA1C56">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BA1C56">
      <w:pPr>
        <w:pStyle w:val="BodyText2"/>
        <w:numPr>
          <w:ilvl w:val="0"/>
          <w:numId w:val="6"/>
        </w:numPr>
        <w:spacing w:before="120"/>
        <w:ind w:right="0"/>
      </w:pPr>
      <w:r w:rsidRPr="00C603A9">
        <w:t xml:space="preserve">Foundation for Middle East </w:t>
      </w:r>
      <w:proofErr w:type="gramStart"/>
      <w:r w:rsidRPr="00C603A9">
        <w:t>Peace,</w:t>
      </w:r>
      <w:proofErr w:type="gramEnd"/>
      <w:r w:rsidRPr="00C603A9">
        <w:t xml:space="preserve"> May-June 2008.  Report on Israeli Settlement</w:t>
      </w:r>
      <w:r w:rsidRPr="00C603A9">
        <w:br/>
        <w:t>in the Occupied Territories, Vol. 17, No. 3, Washington D.C.</w:t>
      </w:r>
    </w:p>
    <w:p w:rsidR="005E1E3C" w:rsidRPr="00C603A9" w:rsidRDefault="005E1E3C" w:rsidP="00534B20">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534B20">
        <w:t>2019</w:t>
      </w:r>
      <w:r w:rsidR="00525A46" w:rsidRPr="00C603A9">
        <w:t>)</w:t>
      </w:r>
      <w:r w:rsidRPr="00C603A9">
        <w:t xml:space="preserve"> </w:t>
      </w:r>
    </w:p>
    <w:p w:rsidR="00314A4F" w:rsidRDefault="00314A4F" w:rsidP="00534B20">
      <w:pPr>
        <w:pStyle w:val="BodyText2"/>
        <w:numPr>
          <w:ilvl w:val="0"/>
          <w:numId w:val="6"/>
        </w:numPr>
        <w:spacing w:before="120"/>
        <w:ind w:right="0"/>
      </w:pPr>
      <w:r w:rsidRPr="00314A4F">
        <w:t xml:space="preserve">The Jerusalem Institute for Israeli Studies </w:t>
      </w:r>
      <w:r w:rsidR="00534B20">
        <w:rPr>
          <w:rFonts w:hint="cs"/>
          <w:rtl/>
        </w:rPr>
        <w:t>2020</w:t>
      </w:r>
      <w:r w:rsidRPr="00314A4F">
        <w:t xml:space="preserve">, Statistical Yearbook of Jerusalem </w:t>
      </w:r>
      <w:r w:rsidR="00534B20">
        <w:t>2020</w:t>
      </w:r>
      <w:r w:rsidR="003F2BE8">
        <w:t xml:space="preserve"> </w:t>
      </w:r>
      <w:r w:rsidRPr="00314A4F">
        <w:t xml:space="preserve">(No </w:t>
      </w:r>
      <w:r w:rsidR="00534B20">
        <w:t>34</w:t>
      </w:r>
      <w:r w:rsidRPr="00314A4F">
        <w:t>). Jerusalem.</w:t>
      </w:r>
    </w:p>
    <w:p w:rsidR="000F080C" w:rsidRDefault="005E1E3C" w:rsidP="00BA1C56">
      <w:pPr>
        <w:pStyle w:val="BodyText2"/>
        <w:numPr>
          <w:ilvl w:val="0"/>
          <w:numId w:val="6"/>
        </w:numPr>
        <w:spacing w:before="120"/>
        <w:ind w:right="0"/>
      </w:pPr>
      <w:r w:rsidRPr="00C603A9">
        <w:t>The Israeli Information Center for Human Rights in the Occupied Territories (B'TSELEM), 2002.  Land Grab-Israel’s Settl</w:t>
      </w:r>
      <w:r w:rsidR="0029480A">
        <w:t xml:space="preserve">ement Policy in the West Bank. </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headerReference w:type="default" r:id="rId18"/>
      <w:footerReference w:type="default" r:id="rId19"/>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F71" w:rsidRDefault="001E7F71">
      <w:r>
        <w:separator/>
      </w:r>
    </w:p>
  </w:endnote>
  <w:endnote w:type="continuationSeparator" w:id="0">
    <w:p w:rsidR="001E7F71" w:rsidRDefault="001E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E7A" w:rsidRPr="00096737" w:rsidRDefault="00FF7E7A">
    <w:pPr>
      <w:pStyle w:val="Footer"/>
      <w:jc w:val="center"/>
      <w:rPr>
        <w:rFonts w:cs="Times New Roman"/>
        <w:b/>
        <w:bCs/>
        <w:sz w:val="20"/>
        <w:szCs w:val="20"/>
      </w:rPr>
    </w:pPr>
    <w:r>
      <w:rPr>
        <w:rFonts w:cs="Times New Roman"/>
        <w:b/>
        <w:bCs/>
        <w:sz w:val="20"/>
        <w:szCs w:val="20"/>
      </w:rPr>
      <w:t>]</w:t>
    </w:r>
    <w:r w:rsidRPr="00096737">
      <w:rPr>
        <w:rFonts w:cs="Times New Roman"/>
        <w:b/>
        <w:bCs/>
        <w:sz w:val="20"/>
        <w:szCs w:val="20"/>
      </w:rPr>
      <w:fldChar w:fldCharType="begin"/>
    </w:r>
    <w:r w:rsidRPr="00096737">
      <w:rPr>
        <w:rFonts w:cs="Times New Roman"/>
        <w:b/>
        <w:bCs/>
        <w:sz w:val="20"/>
        <w:szCs w:val="20"/>
      </w:rPr>
      <w:instrText xml:space="preserve"> PAGE   \* MERGEFORMAT </w:instrText>
    </w:r>
    <w:r w:rsidRPr="00096737">
      <w:rPr>
        <w:rFonts w:cs="Times New Roman"/>
        <w:b/>
        <w:bCs/>
        <w:sz w:val="20"/>
        <w:szCs w:val="20"/>
      </w:rPr>
      <w:fldChar w:fldCharType="separate"/>
    </w:r>
    <w:r w:rsidR="002C6D02">
      <w:rPr>
        <w:rFonts w:cs="Times New Roman"/>
        <w:b/>
        <w:bCs/>
        <w:sz w:val="20"/>
        <w:szCs w:val="20"/>
        <w:rtl/>
      </w:rPr>
      <w:t>27</w:t>
    </w:r>
    <w:r w:rsidRPr="00096737">
      <w:rPr>
        <w:rFonts w:cs="Times New Roman"/>
        <w:b/>
        <w:bCs/>
        <w:sz w:val="20"/>
        <w:szCs w:val="20"/>
      </w:rPr>
      <w:fldChar w:fldCharType="end"/>
    </w:r>
    <w:r>
      <w:rPr>
        <w:rFonts w:cs="Times New Roman"/>
        <w:b/>
        <w:bCs/>
        <w:sz w:val="20"/>
        <w:szCs w:val="20"/>
      </w:rPr>
      <w:t>[</w:t>
    </w:r>
  </w:p>
  <w:p w:rsidR="00FF7E7A" w:rsidRDefault="00FF7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F71" w:rsidRDefault="001E7F71">
      <w:r>
        <w:separator/>
      </w:r>
    </w:p>
  </w:footnote>
  <w:footnote w:type="continuationSeparator" w:id="0">
    <w:p w:rsidR="001E7F71" w:rsidRDefault="001E7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E7A" w:rsidRPr="00A078D4" w:rsidRDefault="00FF7E7A" w:rsidP="00F003CB">
    <w:pPr>
      <w:pStyle w:val="Header"/>
      <w:bidi w:val="0"/>
      <w:rPr>
        <w:rFonts w:ascii="Arial" w:hAnsi="Arial" w:cs="Arial"/>
        <w:sz w:val="16"/>
        <w:szCs w:val="16"/>
        <w:rtl/>
      </w:rPr>
    </w:pPr>
    <w:r w:rsidRPr="00A078D4">
      <w:rPr>
        <w:rFonts w:ascii="Arial" w:hAnsi="Arial" w:cs="Arial"/>
        <w:sz w:val="16"/>
        <w:szCs w:val="16"/>
      </w:rPr>
      <w:t xml:space="preserve">PCBS: Israeli Settlements in </w:t>
    </w:r>
    <w:r w:rsidR="00F003CB" w:rsidRPr="00F003CB">
      <w:rPr>
        <w:rFonts w:ascii="Arial" w:hAnsi="Arial" w:cs="Arial"/>
        <w:sz w:val="16"/>
        <w:szCs w:val="16"/>
      </w:rPr>
      <w:t>the 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2019</w:t>
    </w:r>
    <w:r w:rsidRPr="00A078D4">
      <w:rPr>
        <w:rFonts w:ascii="Arial" w:hAnsi="Arial" w:cs="Arial"/>
        <w:sz w:val="16"/>
        <w:szCs w:val="16"/>
        <w:rt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E7A" w:rsidRPr="00A078D4" w:rsidRDefault="00FF7E7A" w:rsidP="00F003CB">
    <w:pPr>
      <w:pStyle w:val="Header"/>
      <w:bidi w:val="0"/>
      <w:rPr>
        <w:rFonts w:ascii="Arial" w:hAnsi="Arial" w:cs="Arial"/>
        <w:sz w:val="16"/>
        <w:szCs w:val="16"/>
        <w:rtl/>
      </w:rPr>
    </w:pPr>
    <w:r w:rsidRPr="00A078D4">
      <w:rPr>
        <w:rFonts w:ascii="Arial" w:hAnsi="Arial" w:cs="Arial"/>
        <w:sz w:val="16"/>
        <w:szCs w:val="16"/>
      </w:rPr>
      <w:t xml:space="preserve">PCBS: Israeli Settlements in </w:t>
    </w:r>
    <w:r w:rsidR="00F003CB">
      <w:rPr>
        <w:rFonts w:ascii="Arial" w:hAnsi="Arial" w:cs="Arial"/>
        <w:sz w:val="16"/>
        <w:szCs w:val="16"/>
      </w:rPr>
      <w:t xml:space="preserve">the </w:t>
    </w:r>
    <w:r w:rsidR="00F003CB" w:rsidRPr="00F003CB">
      <w:rPr>
        <w:rFonts w:ascii="Arial" w:hAnsi="Arial" w:cs="Arial"/>
        <w:sz w:val="16"/>
        <w:szCs w:val="16"/>
      </w:rPr>
      <w:t>West Bank</w:t>
    </w:r>
    <w:r>
      <w:rPr>
        <w:rFonts w:ascii="Arial" w:hAnsi="Arial" w:cs="Arial"/>
        <w:sz w:val="16"/>
        <w:szCs w:val="16"/>
      </w:rPr>
      <w:t>,</w:t>
    </w:r>
    <w:r w:rsidRPr="00A078D4">
      <w:rPr>
        <w:rFonts w:ascii="Arial" w:hAnsi="Arial" w:cs="Arial"/>
        <w:sz w:val="16"/>
        <w:szCs w:val="16"/>
      </w:rPr>
      <w:t xml:space="preserve"> </w:t>
    </w:r>
    <w:r>
      <w:rPr>
        <w:rFonts w:ascii="Arial" w:hAnsi="Arial" w:cs="Arial"/>
        <w:sz w:val="16"/>
        <w:szCs w:val="16"/>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5"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9"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0"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3"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7"/>
  </w:num>
  <w:num w:numId="4">
    <w:abstractNumId w:val="9"/>
  </w:num>
  <w:num w:numId="5">
    <w:abstractNumId w:val="8"/>
  </w:num>
  <w:num w:numId="6">
    <w:abstractNumId w:val="4"/>
  </w:num>
  <w:num w:numId="7">
    <w:abstractNumId w:val="13"/>
  </w:num>
  <w:num w:numId="8">
    <w:abstractNumId w:val="2"/>
  </w:num>
  <w:num w:numId="9">
    <w:abstractNumId w:val="11"/>
  </w:num>
  <w:num w:numId="10">
    <w:abstractNumId w:val="1"/>
  </w:num>
  <w:num w:numId="11">
    <w:abstractNumId w:val="5"/>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10CFC"/>
    <w:rsid w:val="000139E4"/>
    <w:rsid w:val="000164E5"/>
    <w:rsid w:val="000217FC"/>
    <w:rsid w:val="00026110"/>
    <w:rsid w:val="00033396"/>
    <w:rsid w:val="00034AAB"/>
    <w:rsid w:val="00035C07"/>
    <w:rsid w:val="00037DB1"/>
    <w:rsid w:val="000409B9"/>
    <w:rsid w:val="00041476"/>
    <w:rsid w:val="00043A98"/>
    <w:rsid w:val="00051A30"/>
    <w:rsid w:val="00060A79"/>
    <w:rsid w:val="00064213"/>
    <w:rsid w:val="00064F30"/>
    <w:rsid w:val="000658F1"/>
    <w:rsid w:val="000659C5"/>
    <w:rsid w:val="00067F02"/>
    <w:rsid w:val="0007030C"/>
    <w:rsid w:val="0007221C"/>
    <w:rsid w:val="00074851"/>
    <w:rsid w:val="00080126"/>
    <w:rsid w:val="00090BC9"/>
    <w:rsid w:val="00092D2D"/>
    <w:rsid w:val="00093ACB"/>
    <w:rsid w:val="000944FF"/>
    <w:rsid w:val="00096737"/>
    <w:rsid w:val="000A02CF"/>
    <w:rsid w:val="000A4537"/>
    <w:rsid w:val="000A6E15"/>
    <w:rsid w:val="000A7E4F"/>
    <w:rsid w:val="000B3906"/>
    <w:rsid w:val="000B5124"/>
    <w:rsid w:val="000B7819"/>
    <w:rsid w:val="000B7C5F"/>
    <w:rsid w:val="000C4E3B"/>
    <w:rsid w:val="000C589F"/>
    <w:rsid w:val="000C5DFE"/>
    <w:rsid w:val="000C5E4F"/>
    <w:rsid w:val="000D1BF9"/>
    <w:rsid w:val="000D1DB9"/>
    <w:rsid w:val="000D61D3"/>
    <w:rsid w:val="000E3502"/>
    <w:rsid w:val="000E3ED8"/>
    <w:rsid w:val="000F07C5"/>
    <w:rsid w:val="000F080C"/>
    <w:rsid w:val="000F5836"/>
    <w:rsid w:val="000F6F43"/>
    <w:rsid w:val="00107314"/>
    <w:rsid w:val="00107DBF"/>
    <w:rsid w:val="00110432"/>
    <w:rsid w:val="00110CB5"/>
    <w:rsid w:val="001116A1"/>
    <w:rsid w:val="0011175A"/>
    <w:rsid w:val="0013412C"/>
    <w:rsid w:val="00135349"/>
    <w:rsid w:val="00140E6B"/>
    <w:rsid w:val="00147754"/>
    <w:rsid w:val="001510CB"/>
    <w:rsid w:val="0015335C"/>
    <w:rsid w:val="00153CA1"/>
    <w:rsid w:val="00161F27"/>
    <w:rsid w:val="00162AA7"/>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D1F55"/>
    <w:rsid w:val="001D7025"/>
    <w:rsid w:val="001D73BE"/>
    <w:rsid w:val="001D7AFC"/>
    <w:rsid w:val="001E0839"/>
    <w:rsid w:val="001E0FFE"/>
    <w:rsid w:val="001E5B82"/>
    <w:rsid w:val="001E5F29"/>
    <w:rsid w:val="001E7866"/>
    <w:rsid w:val="001E7F71"/>
    <w:rsid w:val="001F162E"/>
    <w:rsid w:val="001F1DFC"/>
    <w:rsid w:val="001F262D"/>
    <w:rsid w:val="001F3367"/>
    <w:rsid w:val="001F6196"/>
    <w:rsid w:val="00200C08"/>
    <w:rsid w:val="0020211B"/>
    <w:rsid w:val="002025C8"/>
    <w:rsid w:val="00202842"/>
    <w:rsid w:val="002140A9"/>
    <w:rsid w:val="00216070"/>
    <w:rsid w:val="00222249"/>
    <w:rsid w:val="0022409A"/>
    <w:rsid w:val="00225C52"/>
    <w:rsid w:val="0022724C"/>
    <w:rsid w:val="002323A4"/>
    <w:rsid w:val="00234636"/>
    <w:rsid w:val="0024094D"/>
    <w:rsid w:val="00241F73"/>
    <w:rsid w:val="00257743"/>
    <w:rsid w:val="00257785"/>
    <w:rsid w:val="00257EB1"/>
    <w:rsid w:val="0026086E"/>
    <w:rsid w:val="002633B2"/>
    <w:rsid w:val="00264E4E"/>
    <w:rsid w:val="00265C6A"/>
    <w:rsid w:val="00267BA8"/>
    <w:rsid w:val="00272772"/>
    <w:rsid w:val="00274BD0"/>
    <w:rsid w:val="0027795D"/>
    <w:rsid w:val="002826A8"/>
    <w:rsid w:val="00282DFD"/>
    <w:rsid w:val="002900B6"/>
    <w:rsid w:val="00290248"/>
    <w:rsid w:val="00291DD6"/>
    <w:rsid w:val="0029480A"/>
    <w:rsid w:val="00294D77"/>
    <w:rsid w:val="002A03F7"/>
    <w:rsid w:val="002A1B19"/>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C6D02"/>
    <w:rsid w:val="002D15C2"/>
    <w:rsid w:val="002D33CC"/>
    <w:rsid w:val="002E277C"/>
    <w:rsid w:val="002E4F89"/>
    <w:rsid w:val="002E5D6B"/>
    <w:rsid w:val="002E6099"/>
    <w:rsid w:val="002F00D1"/>
    <w:rsid w:val="002F0119"/>
    <w:rsid w:val="002F175E"/>
    <w:rsid w:val="002F4020"/>
    <w:rsid w:val="002F4F73"/>
    <w:rsid w:val="002F6AF9"/>
    <w:rsid w:val="0030011F"/>
    <w:rsid w:val="003004BA"/>
    <w:rsid w:val="00307E60"/>
    <w:rsid w:val="00307F07"/>
    <w:rsid w:val="003122B7"/>
    <w:rsid w:val="00312498"/>
    <w:rsid w:val="003128BD"/>
    <w:rsid w:val="00314A4F"/>
    <w:rsid w:val="003156FE"/>
    <w:rsid w:val="00320AFC"/>
    <w:rsid w:val="003273C8"/>
    <w:rsid w:val="0034215B"/>
    <w:rsid w:val="00342E6E"/>
    <w:rsid w:val="003435FE"/>
    <w:rsid w:val="0034462B"/>
    <w:rsid w:val="00345066"/>
    <w:rsid w:val="00357DA6"/>
    <w:rsid w:val="00362AAD"/>
    <w:rsid w:val="00366613"/>
    <w:rsid w:val="00367B61"/>
    <w:rsid w:val="003703E4"/>
    <w:rsid w:val="00374A83"/>
    <w:rsid w:val="0038395B"/>
    <w:rsid w:val="00383DE3"/>
    <w:rsid w:val="003916F1"/>
    <w:rsid w:val="00392CA9"/>
    <w:rsid w:val="00392F20"/>
    <w:rsid w:val="0039734F"/>
    <w:rsid w:val="003A2382"/>
    <w:rsid w:val="003A3700"/>
    <w:rsid w:val="003A750B"/>
    <w:rsid w:val="003A750E"/>
    <w:rsid w:val="003B14AD"/>
    <w:rsid w:val="003B4725"/>
    <w:rsid w:val="003C73E8"/>
    <w:rsid w:val="003D1F9B"/>
    <w:rsid w:val="003D325E"/>
    <w:rsid w:val="003E046E"/>
    <w:rsid w:val="003E3DB7"/>
    <w:rsid w:val="003E5C56"/>
    <w:rsid w:val="003E736E"/>
    <w:rsid w:val="003E7ECC"/>
    <w:rsid w:val="003F2BE8"/>
    <w:rsid w:val="003F3A56"/>
    <w:rsid w:val="003F6AC6"/>
    <w:rsid w:val="003F6EB0"/>
    <w:rsid w:val="003F7A5D"/>
    <w:rsid w:val="0040129D"/>
    <w:rsid w:val="00402520"/>
    <w:rsid w:val="00403D10"/>
    <w:rsid w:val="004059E3"/>
    <w:rsid w:val="00410289"/>
    <w:rsid w:val="00413583"/>
    <w:rsid w:val="0041524D"/>
    <w:rsid w:val="00416833"/>
    <w:rsid w:val="0042164D"/>
    <w:rsid w:val="00421821"/>
    <w:rsid w:val="0042703D"/>
    <w:rsid w:val="00436C18"/>
    <w:rsid w:val="00447AF0"/>
    <w:rsid w:val="00447EE4"/>
    <w:rsid w:val="00451DEA"/>
    <w:rsid w:val="0045554A"/>
    <w:rsid w:val="00463463"/>
    <w:rsid w:val="00465182"/>
    <w:rsid w:val="0047611E"/>
    <w:rsid w:val="00480785"/>
    <w:rsid w:val="004840C4"/>
    <w:rsid w:val="00486361"/>
    <w:rsid w:val="00487E1F"/>
    <w:rsid w:val="004905DF"/>
    <w:rsid w:val="004A24CE"/>
    <w:rsid w:val="004A455D"/>
    <w:rsid w:val="004A47E9"/>
    <w:rsid w:val="004A6008"/>
    <w:rsid w:val="004B00BB"/>
    <w:rsid w:val="004B3890"/>
    <w:rsid w:val="004B47EA"/>
    <w:rsid w:val="004C1D17"/>
    <w:rsid w:val="004C2A86"/>
    <w:rsid w:val="004C36C4"/>
    <w:rsid w:val="004C4F05"/>
    <w:rsid w:val="004D0F04"/>
    <w:rsid w:val="004D77F6"/>
    <w:rsid w:val="004E1989"/>
    <w:rsid w:val="004E3298"/>
    <w:rsid w:val="004F1CDA"/>
    <w:rsid w:val="004F482F"/>
    <w:rsid w:val="004F5B09"/>
    <w:rsid w:val="005014BC"/>
    <w:rsid w:val="00503BC4"/>
    <w:rsid w:val="00512EE7"/>
    <w:rsid w:val="00512FD7"/>
    <w:rsid w:val="005136BD"/>
    <w:rsid w:val="00513F7E"/>
    <w:rsid w:val="005148F9"/>
    <w:rsid w:val="00521F01"/>
    <w:rsid w:val="00522476"/>
    <w:rsid w:val="00525A46"/>
    <w:rsid w:val="005303D8"/>
    <w:rsid w:val="005311BD"/>
    <w:rsid w:val="00534B20"/>
    <w:rsid w:val="005419E2"/>
    <w:rsid w:val="00543507"/>
    <w:rsid w:val="00543B07"/>
    <w:rsid w:val="005506A2"/>
    <w:rsid w:val="00551CFA"/>
    <w:rsid w:val="00554393"/>
    <w:rsid w:val="00554FE7"/>
    <w:rsid w:val="00555A17"/>
    <w:rsid w:val="00556D30"/>
    <w:rsid w:val="00560E8C"/>
    <w:rsid w:val="0056160C"/>
    <w:rsid w:val="0056233D"/>
    <w:rsid w:val="005660DB"/>
    <w:rsid w:val="00567371"/>
    <w:rsid w:val="00570AE0"/>
    <w:rsid w:val="005736F1"/>
    <w:rsid w:val="00575D02"/>
    <w:rsid w:val="005771FB"/>
    <w:rsid w:val="0058055A"/>
    <w:rsid w:val="00583DF6"/>
    <w:rsid w:val="005857BC"/>
    <w:rsid w:val="005858F5"/>
    <w:rsid w:val="00586E3C"/>
    <w:rsid w:val="00587BC6"/>
    <w:rsid w:val="005901C7"/>
    <w:rsid w:val="005902AF"/>
    <w:rsid w:val="00590D67"/>
    <w:rsid w:val="00591056"/>
    <w:rsid w:val="00591AAA"/>
    <w:rsid w:val="00595E20"/>
    <w:rsid w:val="00596923"/>
    <w:rsid w:val="005A0F57"/>
    <w:rsid w:val="005A67C0"/>
    <w:rsid w:val="005A72A3"/>
    <w:rsid w:val="005B0C6B"/>
    <w:rsid w:val="005B4A0D"/>
    <w:rsid w:val="005B585F"/>
    <w:rsid w:val="005B7291"/>
    <w:rsid w:val="005C466B"/>
    <w:rsid w:val="005C6D62"/>
    <w:rsid w:val="005C7979"/>
    <w:rsid w:val="005D74B1"/>
    <w:rsid w:val="005E1E3C"/>
    <w:rsid w:val="005E416B"/>
    <w:rsid w:val="005E6DB3"/>
    <w:rsid w:val="005F5016"/>
    <w:rsid w:val="00600181"/>
    <w:rsid w:val="0060376E"/>
    <w:rsid w:val="00607376"/>
    <w:rsid w:val="00610347"/>
    <w:rsid w:val="00612B21"/>
    <w:rsid w:val="00615129"/>
    <w:rsid w:val="006156E4"/>
    <w:rsid w:val="006216BE"/>
    <w:rsid w:val="00623189"/>
    <w:rsid w:val="00623772"/>
    <w:rsid w:val="0062479E"/>
    <w:rsid w:val="006349A6"/>
    <w:rsid w:val="00636311"/>
    <w:rsid w:val="00642F54"/>
    <w:rsid w:val="00646183"/>
    <w:rsid w:val="00646F70"/>
    <w:rsid w:val="006471DC"/>
    <w:rsid w:val="006505D8"/>
    <w:rsid w:val="006562A0"/>
    <w:rsid w:val="00656361"/>
    <w:rsid w:val="006565FF"/>
    <w:rsid w:val="00661C04"/>
    <w:rsid w:val="00667550"/>
    <w:rsid w:val="00670876"/>
    <w:rsid w:val="006711C2"/>
    <w:rsid w:val="006728C1"/>
    <w:rsid w:val="0067719E"/>
    <w:rsid w:val="00680663"/>
    <w:rsid w:val="00683EBD"/>
    <w:rsid w:val="0068466E"/>
    <w:rsid w:val="006916E8"/>
    <w:rsid w:val="00695FB3"/>
    <w:rsid w:val="006A3931"/>
    <w:rsid w:val="006A7D32"/>
    <w:rsid w:val="006B65E1"/>
    <w:rsid w:val="006B775C"/>
    <w:rsid w:val="006B7FD4"/>
    <w:rsid w:val="006C232D"/>
    <w:rsid w:val="006C454F"/>
    <w:rsid w:val="006F5E4F"/>
    <w:rsid w:val="006F6D02"/>
    <w:rsid w:val="0070256D"/>
    <w:rsid w:val="00703123"/>
    <w:rsid w:val="007059FF"/>
    <w:rsid w:val="00717143"/>
    <w:rsid w:val="0072014F"/>
    <w:rsid w:val="00720FBC"/>
    <w:rsid w:val="00722584"/>
    <w:rsid w:val="00725D07"/>
    <w:rsid w:val="00725D3B"/>
    <w:rsid w:val="00726E5C"/>
    <w:rsid w:val="00733C6C"/>
    <w:rsid w:val="007413FA"/>
    <w:rsid w:val="0074391B"/>
    <w:rsid w:val="00743E10"/>
    <w:rsid w:val="00747F31"/>
    <w:rsid w:val="00752052"/>
    <w:rsid w:val="007655E8"/>
    <w:rsid w:val="00777064"/>
    <w:rsid w:val="00782458"/>
    <w:rsid w:val="0078703D"/>
    <w:rsid w:val="007913FB"/>
    <w:rsid w:val="00792261"/>
    <w:rsid w:val="007A1D23"/>
    <w:rsid w:val="007A3334"/>
    <w:rsid w:val="007A769B"/>
    <w:rsid w:val="007B48FE"/>
    <w:rsid w:val="007C124A"/>
    <w:rsid w:val="007C2D27"/>
    <w:rsid w:val="007D1E66"/>
    <w:rsid w:val="007D2559"/>
    <w:rsid w:val="007D2681"/>
    <w:rsid w:val="007E1E57"/>
    <w:rsid w:val="007E2744"/>
    <w:rsid w:val="007E361B"/>
    <w:rsid w:val="007E53F5"/>
    <w:rsid w:val="007F1179"/>
    <w:rsid w:val="007F3401"/>
    <w:rsid w:val="007F5AAA"/>
    <w:rsid w:val="007F6608"/>
    <w:rsid w:val="00801791"/>
    <w:rsid w:val="008043E3"/>
    <w:rsid w:val="00810E93"/>
    <w:rsid w:val="00811316"/>
    <w:rsid w:val="00816249"/>
    <w:rsid w:val="00820740"/>
    <w:rsid w:val="008235FB"/>
    <w:rsid w:val="0083793A"/>
    <w:rsid w:val="00845212"/>
    <w:rsid w:val="00847D43"/>
    <w:rsid w:val="008526DD"/>
    <w:rsid w:val="00852EAF"/>
    <w:rsid w:val="0085386D"/>
    <w:rsid w:val="008571B2"/>
    <w:rsid w:val="00857C64"/>
    <w:rsid w:val="0087108F"/>
    <w:rsid w:val="008758BA"/>
    <w:rsid w:val="00877B47"/>
    <w:rsid w:val="0088068A"/>
    <w:rsid w:val="00880786"/>
    <w:rsid w:val="008851FD"/>
    <w:rsid w:val="00891DF8"/>
    <w:rsid w:val="00896031"/>
    <w:rsid w:val="008A4257"/>
    <w:rsid w:val="008A54A9"/>
    <w:rsid w:val="008B02D1"/>
    <w:rsid w:val="008B0904"/>
    <w:rsid w:val="008B113C"/>
    <w:rsid w:val="008B3569"/>
    <w:rsid w:val="008B3CD5"/>
    <w:rsid w:val="008B6D0C"/>
    <w:rsid w:val="008D70E6"/>
    <w:rsid w:val="008E28F7"/>
    <w:rsid w:val="008F4836"/>
    <w:rsid w:val="008F4FAC"/>
    <w:rsid w:val="008F54C6"/>
    <w:rsid w:val="008F7D1C"/>
    <w:rsid w:val="008F7FAD"/>
    <w:rsid w:val="00901DE2"/>
    <w:rsid w:val="00911D6E"/>
    <w:rsid w:val="0091649C"/>
    <w:rsid w:val="009167DA"/>
    <w:rsid w:val="00916D9B"/>
    <w:rsid w:val="00916E28"/>
    <w:rsid w:val="00922656"/>
    <w:rsid w:val="009253A4"/>
    <w:rsid w:val="00932B3F"/>
    <w:rsid w:val="00933336"/>
    <w:rsid w:val="00933CAC"/>
    <w:rsid w:val="009406DF"/>
    <w:rsid w:val="0094292C"/>
    <w:rsid w:val="00944E23"/>
    <w:rsid w:val="00953976"/>
    <w:rsid w:val="00957930"/>
    <w:rsid w:val="00961B6F"/>
    <w:rsid w:val="009672B7"/>
    <w:rsid w:val="009701CB"/>
    <w:rsid w:val="00971F2F"/>
    <w:rsid w:val="00972AA9"/>
    <w:rsid w:val="009734F0"/>
    <w:rsid w:val="00973CB3"/>
    <w:rsid w:val="00982A34"/>
    <w:rsid w:val="00983AFF"/>
    <w:rsid w:val="009846A8"/>
    <w:rsid w:val="00985FB3"/>
    <w:rsid w:val="00994C77"/>
    <w:rsid w:val="0099611A"/>
    <w:rsid w:val="00997732"/>
    <w:rsid w:val="009A0D32"/>
    <w:rsid w:val="009A51D4"/>
    <w:rsid w:val="009B3045"/>
    <w:rsid w:val="009C11AA"/>
    <w:rsid w:val="009C4517"/>
    <w:rsid w:val="009C520E"/>
    <w:rsid w:val="009C6DD2"/>
    <w:rsid w:val="009C6EED"/>
    <w:rsid w:val="009C786B"/>
    <w:rsid w:val="009D1A27"/>
    <w:rsid w:val="009D3D52"/>
    <w:rsid w:val="009D5E41"/>
    <w:rsid w:val="009E1B97"/>
    <w:rsid w:val="009E5487"/>
    <w:rsid w:val="009F251C"/>
    <w:rsid w:val="009F2985"/>
    <w:rsid w:val="009F2CD1"/>
    <w:rsid w:val="009F3652"/>
    <w:rsid w:val="00A03F35"/>
    <w:rsid w:val="00A04AA9"/>
    <w:rsid w:val="00A07004"/>
    <w:rsid w:val="00A078D4"/>
    <w:rsid w:val="00A116CD"/>
    <w:rsid w:val="00A12986"/>
    <w:rsid w:val="00A143C2"/>
    <w:rsid w:val="00A2380C"/>
    <w:rsid w:val="00A25605"/>
    <w:rsid w:val="00A25E95"/>
    <w:rsid w:val="00A30CE6"/>
    <w:rsid w:val="00A33F3D"/>
    <w:rsid w:val="00A47E2B"/>
    <w:rsid w:val="00A523A6"/>
    <w:rsid w:val="00A52890"/>
    <w:rsid w:val="00A57214"/>
    <w:rsid w:val="00A642B2"/>
    <w:rsid w:val="00A64E89"/>
    <w:rsid w:val="00A65173"/>
    <w:rsid w:val="00A7565D"/>
    <w:rsid w:val="00A77D40"/>
    <w:rsid w:val="00A8602D"/>
    <w:rsid w:val="00A90892"/>
    <w:rsid w:val="00A91713"/>
    <w:rsid w:val="00A94B78"/>
    <w:rsid w:val="00AA151C"/>
    <w:rsid w:val="00AA34EE"/>
    <w:rsid w:val="00AA38EE"/>
    <w:rsid w:val="00AA516D"/>
    <w:rsid w:val="00AA7CE5"/>
    <w:rsid w:val="00AB2ADA"/>
    <w:rsid w:val="00AB48FE"/>
    <w:rsid w:val="00AB7444"/>
    <w:rsid w:val="00AC3E32"/>
    <w:rsid w:val="00AC793F"/>
    <w:rsid w:val="00AD14A6"/>
    <w:rsid w:val="00AD4488"/>
    <w:rsid w:val="00AD4CC9"/>
    <w:rsid w:val="00AD6A27"/>
    <w:rsid w:val="00AD7545"/>
    <w:rsid w:val="00AE0CB5"/>
    <w:rsid w:val="00AE0DAE"/>
    <w:rsid w:val="00AE3198"/>
    <w:rsid w:val="00AE48D4"/>
    <w:rsid w:val="00AF0D01"/>
    <w:rsid w:val="00B00653"/>
    <w:rsid w:val="00B02478"/>
    <w:rsid w:val="00B031DF"/>
    <w:rsid w:val="00B04CDC"/>
    <w:rsid w:val="00B10327"/>
    <w:rsid w:val="00B10D5A"/>
    <w:rsid w:val="00B11FFB"/>
    <w:rsid w:val="00B1242B"/>
    <w:rsid w:val="00B12F30"/>
    <w:rsid w:val="00B15045"/>
    <w:rsid w:val="00B15594"/>
    <w:rsid w:val="00B2285A"/>
    <w:rsid w:val="00B2420B"/>
    <w:rsid w:val="00B24226"/>
    <w:rsid w:val="00B244B7"/>
    <w:rsid w:val="00B24C2D"/>
    <w:rsid w:val="00B26892"/>
    <w:rsid w:val="00B3296A"/>
    <w:rsid w:val="00B33A2B"/>
    <w:rsid w:val="00B40766"/>
    <w:rsid w:val="00B42A20"/>
    <w:rsid w:val="00B43038"/>
    <w:rsid w:val="00B439D7"/>
    <w:rsid w:val="00B47470"/>
    <w:rsid w:val="00B476C5"/>
    <w:rsid w:val="00B535D0"/>
    <w:rsid w:val="00B55485"/>
    <w:rsid w:val="00B55CD7"/>
    <w:rsid w:val="00B57573"/>
    <w:rsid w:val="00B633A0"/>
    <w:rsid w:val="00B6398E"/>
    <w:rsid w:val="00B739A7"/>
    <w:rsid w:val="00B83961"/>
    <w:rsid w:val="00B8511D"/>
    <w:rsid w:val="00B916E2"/>
    <w:rsid w:val="00BA1C56"/>
    <w:rsid w:val="00BA6A9A"/>
    <w:rsid w:val="00BB0D96"/>
    <w:rsid w:val="00BB1778"/>
    <w:rsid w:val="00BC11BA"/>
    <w:rsid w:val="00BC1C6F"/>
    <w:rsid w:val="00BD3273"/>
    <w:rsid w:val="00BD65EF"/>
    <w:rsid w:val="00BD7422"/>
    <w:rsid w:val="00BE3334"/>
    <w:rsid w:val="00BE4FF5"/>
    <w:rsid w:val="00BE50D4"/>
    <w:rsid w:val="00BE537E"/>
    <w:rsid w:val="00BF5144"/>
    <w:rsid w:val="00BF5779"/>
    <w:rsid w:val="00C00634"/>
    <w:rsid w:val="00C04591"/>
    <w:rsid w:val="00C04862"/>
    <w:rsid w:val="00C1192E"/>
    <w:rsid w:val="00C2323E"/>
    <w:rsid w:val="00C353BE"/>
    <w:rsid w:val="00C36C56"/>
    <w:rsid w:val="00C43FA8"/>
    <w:rsid w:val="00C45176"/>
    <w:rsid w:val="00C460EF"/>
    <w:rsid w:val="00C603A9"/>
    <w:rsid w:val="00C61118"/>
    <w:rsid w:val="00C617BC"/>
    <w:rsid w:val="00C6447F"/>
    <w:rsid w:val="00C66555"/>
    <w:rsid w:val="00C66D05"/>
    <w:rsid w:val="00C741AE"/>
    <w:rsid w:val="00C75F1E"/>
    <w:rsid w:val="00C81B01"/>
    <w:rsid w:val="00C85522"/>
    <w:rsid w:val="00C9268D"/>
    <w:rsid w:val="00C92C55"/>
    <w:rsid w:val="00C92CF5"/>
    <w:rsid w:val="00C93368"/>
    <w:rsid w:val="00CB29F6"/>
    <w:rsid w:val="00CB2EDD"/>
    <w:rsid w:val="00CB322B"/>
    <w:rsid w:val="00CB564A"/>
    <w:rsid w:val="00CC4BF8"/>
    <w:rsid w:val="00CC6D9C"/>
    <w:rsid w:val="00CD05BE"/>
    <w:rsid w:val="00CD145F"/>
    <w:rsid w:val="00CD198C"/>
    <w:rsid w:val="00CD31B8"/>
    <w:rsid w:val="00CD777E"/>
    <w:rsid w:val="00CE06E0"/>
    <w:rsid w:val="00CE62C7"/>
    <w:rsid w:val="00CF3662"/>
    <w:rsid w:val="00CF4807"/>
    <w:rsid w:val="00D00587"/>
    <w:rsid w:val="00D013D9"/>
    <w:rsid w:val="00D070E2"/>
    <w:rsid w:val="00D202FB"/>
    <w:rsid w:val="00D20799"/>
    <w:rsid w:val="00D236F1"/>
    <w:rsid w:val="00D2378A"/>
    <w:rsid w:val="00D237DA"/>
    <w:rsid w:val="00D23942"/>
    <w:rsid w:val="00D30BD4"/>
    <w:rsid w:val="00D3146B"/>
    <w:rsid w:val="00D31AA4"/>
    <w:rsid w:val="00D31DE7"/>
    <w:rsid w:val="00D32F7C"/>
    <w:rsid w:val="00D3566E"/>
    <w:rsid w:val="00D36F62"/>
    <w:rsid w:val="00D41F5F"/>
    <w:rsid w:val="00D520D0"/>
    <w:rsid w:val="00D60F55"/>
    <w:rsid w:val="00D63CDC"/>
    <w:rsid w:val="00D73A99"/>
    <w:rsid w:val="00D80913"/>
    <w:rsid w:val="00D819F3"/>
    <w:rsid w:val="00D90554"/>
    <w:rsid w:val="00DA6605"/>
    <w:rsid w:val="00DB0C96"/>
    <w:rsid w:val="00DC35ED"/>
    <w:rsid w:val="00DC48A1"/>
    <w:rsid w:val="00DC5310"/>
    <w:rsid w:val="00DD3A02"/>
    <w:rsid w:val="00DD4D55"/>
    <w:rsid w:val="00DE5149"/>
    <w:rsid w:val="00DE5BBC"/>
    <w:rsid w:val="00DE6FAE"/>
    <w:rsid w:val="00DE7B7E"/>
    <w:rsid w:val="00DF1846"/>
    <w:rsid w:val="00DF4760"/>
    <w:rsid w:val="00DF6308"/>
    <w:rsid w:val="00E026CE"/>
    <w:rsid w:val="00E048B1"/>
    <w:rsid w:val="00E0671C"/>
    <w:rsid w:val="00E1057E"/>
    <w:rsid w:val="00E11A11"/>
    <w:rsid w:val="00E13A41"/>
    <w:rsid w:val="00E14DAA"/>
    <w:rsid w:val="00E16C1F"/>
    <w:rsid w:val="00E24090"/>
    <w:rsid w:val="00E2628D"/>
    <w:rsid w:val="00E267A3"/>
    <w:rsid w:val="00E32DF2"/>
    <w:rsid w:val="00E3676A"/>
    <w:rsid w:val="00E40AB6"/>
    <w:rsid w:val="00E424CF"/>
    <w:rsid w:val="00E45C59"/>
    <w:rsid w:val="00E467A7"/>
    <w:rsid w:val="00E46DF8"/>
    <w:rsid w:val="00E47BDD"/>
    <w:rsid w:val="00E54639"/>
    <w:rsid w:val="00E55C23"/>
    <w:rsid w:val="00E60A37"/>
    <w:rsid w:val="00E63D98"/>
    <w:rsid w:val="00E70783"/>
    <w:rsid w:val="00E71CD7"/>
    <w:rsid w:val="00E72254"/>
    <w:rsid w:val="00E75745"/>
    <w:rsid w:val="00E77164"/>
    <w:rsid w:val="00E7745C"/>
    <w:rsid w:val="00E81E56"/>
    <w:rsid w:val="00E83864"/>
    <w:rsid w:val="00E848DC"/>
    <w:rsid w:val="00E86CE7"/>
    <w:rsid w:val="00E909A0"/>
    <w:rsid w:val="00E9112A"/>
    <w:rsid w:val="00E911FB"/>
    <w:rsid w:val="00E9572E"/>
    <w:rsid w:val="00E96835"/>
    <w:rsid w:val="00EA04F5"/>
    <w:rsid w:val="00EA1CDB"/>
    <w:rsid w:val="00EA237C"/>
    <w:rsid w:val="00EA4057"/>
    <w:rsid w:val="00EB096D"/>
    <w:rsid w:val="00EB121C"/>
    <w:rsid w:val="00EB1251"/>
    <w:rsid w:val="00EB157B"/>
    <w:rsid w:val="00EB427A"/>
    <w:rsid w:val="00EB4C09"/>
    <w:rsid w:val="00EC1C37"/>
    <w:rsid w:val="00EC6592"/>
    <w:rsid w:val="00ED1EFA"/>
    <w:rsid w:val="00ED79F8"/>
    <w:rsid w:val="00EE2544"/>
    <w:rsid w:val="00EE3C9F"/>
    <w:rsid w:val="00EE3FE2"/>
    <w:rsid w:val="00EE7795"/>
    <w:rsid w:val="00EF0603"/>
    <w:rsid w:val="00EF106B"/>
    <w:rsid w:val="00EF5CFD"/>
    <w:rsid w:val="00EF6389"/>
    <w:rsid w:val="00EF7487"/>
    <w:rsid w:val="00F003CB"/>
    <w:rsid w:val="00F00A1F"/>
    <w:rsid w:val="00F06A58"/>
    <w:rsid w:val="00F076A2"/>
    <w:rsid w:val="00F13B69"/>
    <w:rsid w:val="00F15323"/>
    <w:rsid w:val="00F15515"/>
    <w:rsid w:val="00F230AD"/>
    <w:rsid w:val="00F35A59"/>
    <w:rsid w:val="00F37C5A"/>
    <w:rsid w:val="00F51EA7"/>
    <w:rsid w:val="00F62107"/>
    <w:rsid w:val="00F62C02"/>
    <w:rsid w:val="00F64432"/>
    <w:rsid w:val="00F70057"/>
    <w:rsid w:val="00F75119"/>
    <w:rsid w:val="00F751F8"/>
    <w:rsid w:val="00F7607B"/>
    <w:rsid w:val="00F762C8"/>
    <w:rsid w:val="00F80373"/>
    <w:rsid w:val="00F8088A"/>
    <w:rsid w:val="00F84A32"/>
    <w:rsid w:val="00F86EB0"/>
    <w:rsid w:val="00F91174"/>
    <w:rsid w:val="00F92CE0"/>
    <w:rsid w:val="00F9404F"/>
    <w:rsid w:val="00F968BD"/>
    <w:rsid w:val="00F97E53"/>
    <w:rsid w:val="00FA0D16"/>
    <w:rsid w:val="00FA385F"/>
    <w:rsid w:val="00FB0ABC"/>
    <w:rsid w:val="00FB7087"/>
    <w:rsid w:val="00FB7838"/>
    <w:rsid w:val="00FC3E83"/>
    <w:rsid w:val="00FC3FC1"/>
    <w:rsid w:val="00FC4258"/>
    <w:rsid w:val="00FC6E35"/>
    <w:rsid w:val="00FD5D00"/>
    <w:rsid w:val="00FD739E"/>
    <w:rsid w:val="00FE21C3"/>
    <w:rsid w:val="00FE2780"/>
    <w:rsid w:val="00FE2948"/>
    <w:rsid w:val="00FE3F03"/>
    <w:rsid w:val="00FE7E2C"/>
    <w:rsid w:val="00FE7E3A"/>
    <w:rsid w:val="00FF0F1C"/>
    <w:rsid w:val="00FF32BF"/>
    <w:rsid w:val="00FF429D"/>
    <w:rsid w:val="00FF7089"/>
    <w:rsid w:val="00FF7E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36F28D-6904-4DF1-A58E-4876E547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varyColors val="0"/>
        <c:ser>
          <c:idx val="0"/>
          <c:order val="0"/>
          <c:tx>
            <c:strRef>
              <c:f>Sheet1!$A$2</c:f>
              <c:strCache>
                <c:ptCount val="1"/>
                <c:pt idx="0">
                  <c:v>Formal Settlements</c:v>
                </c:pt>
              </c:strCache>
            </c:strRef>
          </c:tx>
          <c:spPr>
            <a:solidFill>
              <a:srgbClr val="9999FF"/>
            </a:solidFill>
            <a:ln w="12668">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13</c:v>
                </c:pt>
                <c:pt idx="7">
                  <c:v>8</c:v>
                </c:pt>
                <c:pt idx="8">
                  <c:v>7</c:v>
                </c:pt>
                <c:pt idx="9">
                  <c:v>5</c:v>
                </c:pt>
                <c:pt idx="10">
                  <c:v>3</c:v>
                </c:pt>
              </c:numCache>
            </c:numRef>
          </c:val>
          <c:extLst>
            <c:ext xmlns:c16="http://schemas.microsoft.com/office/drawing/2014/chart" uri="{C3380CC4-5D6E-409C-BE32-E72D297353CC}">
              <c16:uniqueId val="{00000000-541A-4D92-9EDA-48004F86225D}"/>
            </c:ext>
          </c:extLst>
        </c:ser>
        <c:dLbls>
          <c:showLegendKey val="0"/>
          <c:showVal val="0"/>
          <c:showCatName val="0"/>
          <c:showSerName val="0"/>
          <c:showPercent val="0"/>
          <c:showBubbleSize val="0"/>
        </c:dLbls>
        <c:gapWidth val="150"/>
        <c:axId val="45516288"/>
        <c:axId val="45518208"/>
      </c:barChart>
      <c:catAx>
        <c:axId val="45516288"/>
        <c:scaling>
          <c:orientation val="minMax"/>
        </c:scaling>
        <c:delete val="0"/>
        <c:axPos val="l"/>
        <c:title>
          <c:tx>
            <c:rich>
              <a:bodyPr rot="-5400000" vert="horz"/>
              <a:lstStyle/>
              <a:p>
                <a:pPr>
                  <a:defRPr b="1"/>
                </a:pPr>
                <a:r>
                  <a:rPr lang="en-US" b="1"/>
                  <a:t>Governorate</a:t>
                </a:r>
              </a:p>
            </c:rich>
          </c:tx>
          <c:layout>
            <c:manualLayout>
              <c:xMode val="edge"/>
              <c:yMode val="edge"/>
              <c:x val="9.6389302688515231E-3"/>
              <c:y val="0.30694688618470573"/>
            </c:manualLayout>
          </c:layout>
          <c:overlay val="0"/>
        </c:title>
        <c:numFmt formatCode="General" sourceLinked="1"/>
        <c:majorTickMark val="out"/>
        <c:minorTickMark val="none"/>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en-US"/>
          </a:p>
        </c:txPr>
        <c:crossAx val="45518208"/>
        <c:crosses val="autoZero"/>
        <c:auto val="1"/>
        <c:lblAlgn val="ctr"/>
        <c:lblOffset val="0"/>
        <c:tickMarkSkip val="1"/>
        <c:noMultiLvlLbl val="0"/>
      </c:catAx>
      <c:valAx>
        <c:axId val="45518208"/>
        <c:scaling>
          <c:orientation val="minMax"/>
          <c:max val="30"/>
          <c:min val="0"/>
        </c:scaling>
        <c:delete val="0"/>
        <c:axPos val="b"/>
        <c:title>
          <c:tx>
            <c:rich>
              <a:bodyPr/>
              <a:lstStyle/>
              <a:p>
                <a:pPr>
                  <a:defRPr b="1"/>
                </a:pPr>
                <a:r>
                  <a:rPr lang="en-US" b="1"/>
                  <a:t>Number</a:t>
                </a:r>
              </a:p>
            </c:rich>
          </c:tx>
          <c:layout>
            <c:manualLayout>
              <c:xMode val="edge"/>
              <c:yMode val="edge"/>
              <c:x val="0.5225485703175996"/>
              <c:y val="0.9071774755428299"/>
            </c:manualLayout>
          </c:layout>
          <c:overlay val="0"/>
        </c:title>
        <c:numFmt formatCode="General" sourceLinked="1"/>
        <c:majorTickMark val="out"/>
        <c:minorTickMark val="none"/>
        <c:tickLblPos val="nextTo"/>
        <c:txPr>
          <a:bodyPr rot="0" vert="horz"/>
          <a:lstStyle/>
          <a:p>
            <a:pPr>
              <a:defRPr sz="874" b="0" i="0" u="none" strike="noStrike" baseline="0">
                <a:solidFill>
                  <a:srgbClr val="000000"/>
                </a:solidFill>
                <a:latin typeface="Arial"/>
                <a:ea typeface="Arial"/>
                <a:cs typeface="Arial"/>
              </a:defRPr>
            </a:pPr>
            <a:endParaRPr lang="en-US"/>
          </a:p>
        </c:txPr>
        <c:crossAx val="45516288"/>
        <c:crosses val="autoZero"/>
        <c:crossBetween val="between"/>
        <c:majorUnit val="5"/>
        <c:minorUnit val="1"/>
      </c:valAx>
    </c:plotArea>
    <c:plotVisOnly val="1"/>
    <c:dispBlanksAs val="gap"/>
    <c:showDLblsOverMax val="0"/>
  </c:chart>
  <c:spPr>
    <a:noFill/>
    <a:ln>
      <a:noFill/>
    </a:ln>
  </c:spPr>
  <c:txPr>
    <a:bodyPr/>
    <a:lstStyle/>
    <a:p>
      <a:pPr>
        <a:defRPr sz="899"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31126198257080762"/>
          <c:y val="2.2268637472947456E-2"/>
          <c:w val="0.65757897603486193"/>
          <c:h val="0.81457659897772705"/>
        </c:manualLayout>
      </c:layout>
      <c:barChart>
        <c:barDir val="bar"/>
        <c:grouping val="clustered"/>
        <c:varyColors val="0"/>
        <c:ser>
          <c:idx val="0"/>
          <c:order val="0"/>
          <c:spPr>
            <a:solidFill>
              <a:srgbClr val="9999FF"/>
            </a:solidFill>
            <a:ln w="12649">
              <a:solidFill>
                <a:srgbClr val="000000"/>
              </a:solidFill>
              <a:prstDash val="solid"/>
            </a:ln>
          </c:spPr>
          <c:invertIfNegative val="0"/>
          <c:dLbls>
            <c:dLbl>
              <c:idx val="0"/>
              <c:layout>
                <c:manualLayout>
                  <c:x val="1.0001089324618807E-2"/>
                  <c:y val="-9.97408487204407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FB-4602-B535-50905DE34300}"/>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#,##0.0_);"("#,##0.0")";"-"_)</c:formatCode>
                <c:ptCount val="11"/>
                <c:pt idx="0">
                  <c:v>316.17599999999999</c:v>
                </c:pt>
                <c:pt idx="1">
                  <c:v>136.95400000000001</c:v>
                </c:pt>
                <c:pt idx="2">
                  <c:v>89.244</c:v>
                </c:pt>
                <c:pt idx="3">
                  <c:v>47.232999999999997</c:v>
                </c:pt>
                <c:pt idx="4">
                  <c:v>39.954999999999998</c:v>
                </c:pt>
                <c:pt idx="5">
                  <c:v>21.18</c:v>
                </c:pt>
                <c:pt idx="6">
                  <c:v>20.100000000000001</c:v>
                </c:pt>
                <c:pt idx="7">
                  <c:v>7.4130000000000003</c:v>
                </c:pt>
                <c:pt idx="8">
                  <c:v>4.1449999999999996</c:v>
                </c:pt>
                <c:pt idx="9">
                  <c:v>3.3730000000000002</c:v>
                </c:pt>
                <c:pt idx="10">
                  <c:v>2.4649999999999999</c:v>
                </c:pt>
              </c:numCache>
            </c:numRef>
          </c:val>
          <c:extLst>
            <c:ext xmlns:c16="http://schemas.microsoft.com/office/drawing/2014/chart" uri="{C3380CC4-5D6E-409C-BE32-E72D297353CC}">
              <c16:uniqueId val="{00000001-2BFB-4602-B535-50905DE34300}"/>
            </c:ext>
          </c:extLst>
        </c:ser>
        <c:dLbls>
          <c:showLegendKey val="0"/>
          <c:showVal val="1"/>
          <c:showCatName val="0"/>
          <c:showSerName val="0"/>
          <c:showPercent val="0"/>
          <c:showBubbleSize val="0"/>
        </c:dLbls>
        <c:gapWidth val="150"/>
        <c:axId val="45497344"/>
        <c:axId val="45544576"/>
      </c:barChart>
      <c:catAx>
        <c:axId val="45497344"/>
        <c:scaling>
          <c:orientation val="minMax"/>
        </c:scaling>
        <c:delete val="0"/>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overlay val="0"/>
        </c:title>
        <c:numFmt formatCode="General" sourceLinked="1"/>
        <c:majorTickMark val="out"/>
        <c:minorTickMark val="none"/>
        <c:tickLblPos val="nextTo"/>
        <c:spPr>
          <a:ln w="3162">
            <a:solidFill>
              <a:srgbClr val="000000"/>
            </a:solidFill>
            <a:prstDash val="solid"/>
          </a:ln>
        </c:spPr>
        <c:txPr>
          <a:bodyPr rot="0" vert="horz"/>
          <a:lstStyle/>
          <a:p>
            <a:pPr>
              <a:defRPr/>
            </a:pPr>
            <a:endParaRPr lang="en-US"/>
          </a:p>
        </c:txPr>
        <c:crossAx val="45544576"/>
        <c:crossesAt val="0"/>
        <c:auto val="1"/>
        <c:lblAlgn val="ctr"/>
        <c:lblOffset val="100"/>
        <c:tickLblSkip val="1"/>
        <c:tickMarkSkip val="2"/>
        <c:noMultiLvlLbl val="0"/>
      </c:catAx>
      <c:valAx>
        <c:axId val="45544576"/>
        <c:scaling>
          <c:orientation val="minMax"/>
        </c:scaling>
        <c:delete val="0"/>
        <c:axPos val="b"/>
        <c:title>
          <c:tx>
            <c:rich>
              <a:bodyPr/>
              <a:lstStyle/>
              <a:p>
                <a:pPr>
                  <a:defRPr b="1"/>
                </a:pPr>
                <a:r>
                  <a:rPr lang="en-US" b="1"/>
                  <a:t>Number in thousands</a:t>
                </a:r>
              </a:p>
            </c:rich>
          </c:tx>
          <c:layout>
            <c:manualLayout>
              <c:xMode val="edge"/>
              <c:yMode val="edge"/>
              <c:x val="0.38586200946336363"/>
              <c:y val="0.93324087120690002"/>
            </c:manualLayout>
          </c:layout>
          <c:overlay val="0"/>
        </c:title>
        <c:numFmt formatCode="#,##0" sourceLinked="0"/>
        <c:majorTickMark val="out"/>
        <c:minorTickMark val="none"/>
        <c:tickLblPos val="nextTo"/>
        <c:spPr>
          <a:ln w="3162">
            <a:solidFill>
              <a:srgbClr val="000000"/>
            </a:solidFill>
            <a:prstDash val="solid"/>
          </a:ln>
        </c:spPr>
        <c:txPr>
          <a:bodyPr rot="0" vert="horz"/>
          <a:lstStyle/>
          <a:p>
            <a:pPr>
              <a:defRPr/>
            </a:pPr>
            <a:endParaRPr lang="en-US"/>
          </a:p>
        </c:txPr>
        <c:crossAx val="45497344"/>
        <c:crosses val="autoZero"/>
        <c:crossBetween val="between"/>
      </c:valAx>
      <c:spPr>
        <a:solidFill>
          <a:srgbClr val="FFFFFF"/>
        </a:solidFill>
        <a:ln w="25299">
          <a:noFill/>
        </a:ln>
      </c:spPr>
    </c:plotArea>
    <c:plotVisOnly val="1"/>
    <c:dispBlanksAs val="gap"/>
    <c:showDLblsOverMax val="0"/>
  </c:chart>
  <c:spPr>
    <a:noFill/>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c:f>
              <c:strCache>
                <c:ptCount val="1"/>
                <c:pt idx="0">
                  <c:v>Year</c:v>
                </c:pt>
              </c:strCache>
            </c:strRef>
          </c:tx>
          <c:invertIfNegative val="0"/>
          <c:dLbls>
            <c:delete val="1"/>
          </c:dLbls>
          <c:cat>
            <c:numRef>
              <c:f>Sheet1!$B$1:$K$1</c:f>
              <c:numCache>
                <c:formatCode>General</c:formatCode>
                <c:ptCount val="10"/>
                <c:pt idx="0">
                  <c:v>1990</c:v>
                </c:pt>
                <c:pt idx="1">
                  <c:v>1995</c:v>
                </c:pt>
                <c:pt idx="2">
                  <c:v>2000</c:v>
                </c:pt>
                <c:pt idx="3">
                  <c:v>2005</c:v>
                </c:pt>
                <c:pt idx="4">
                  <c:v>2010</c:v>
                </c:pt>
                <c:pt idx="5">
                  <c:v>2015</c:v>
                </c:pt>
                <c:pt idx="6">
                  <c:v>2016</c:v>
                </c:pt>
                <c:pt idx="7">
                  <c:v>2017</c:v>
                </c:pt>
                <c:pt idx="8">
                  <c:v>2018</c:v>
                </c:pt>
                <c:pt idx="9">
                  <c:v>2019</c:v>
                </c:pt>
              </c:numCache>
            </c:numRef>
          </c:cat>
          <c:val>
            <c:numRef>
              <c:f>Sheet1!$B$1:$K$1</c:f>
              <c:numCache>
                <c:formatCode>General</c:formatCode>
                <c:ptCount val="10"/>
                <c:pt idx="0">
                  <c:v>1990</c:v>
                </c:pt>
                <c:pt idx="1">
                  <c:v>1995</c:v>
                </c:pt>
                <c:pt idx="2">
                  <c:v>2000</c:v>
                </c:pt>
                <c:pt idx="3">
                  <c:v>2005</c:v>
                </c:pt>
                <c:pt idx="4">
                  <c:v>2010</c:v>
                </c:pt>
                <c:pt idx="5">
                  <c:v>2015</c:v>
                </c:pt>
                <c:pt idx="6">
                  <c:v>2016</c:v>
                </c:pt>
                <c:pt idx="7">
                  <c:v>2017</c:v>
                </c:pt>
                <c:pt idx="8">
                  <c:v>2018</c:v>
                </c:pt>
                <c:pt idx="9">
                  <c:v>2019</c:v>
                </c:pt>
              </c:numCache>
            </c:numRef>
          </c:val>
          <c:extLst>
            <c:ext xmlns:c16="http://schemas.microsoft.com/office/drawing/2014/chart" uri="{C3380CC4-5D6E-409C-BE32-E72D297353CC}">
              <c16:uniqueId val="{00000000-BFF3-4567-A339-89983AAE5305}"/>
            </c:ext>
          </c:extLst>
        </c:ser>
        <c:ser>
          <c:idx val="1"/>
          <c:order val="1"/>
          <c:tx>
            <c:strRef>
              <c:f>Sheet1!$A$2</c:f>
              <c:strCache>
                <c:ptCount val="1"/>
                <c:pt idx="0">
                  <c:v>Number (Thousands)</c:v>
                </c:pt>
              </c:strCache>
            </c:strRef>
          </c:tx>
          <c:spPr>
            <a:solidFill>
              <a:srgbClr val="0070C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Sheet1!$B$1:$K$1</c:f>
              <c:numCache>
                <c:formatCode>General</c:formatCode>
                <c:ptCount val="10"/>
                <c:pt idx="0">
                  <c:v>1990</c:v>
                </c:pt>
                <c:pt idx="1">
                  <c:v>1995</c:v>
                </c:pt>
                <c:pt idx="2">
                  <c:v>2000</c:v>
                </c:pt>
                <c:pt idx="3">
                  <c:v>2005</c:v>
                </c:pt>
                <c:pt idx="4">
                  <c:v>2010</c:v>
                </c:pt>
                <c:pt idx="5">
                  <c:v>2015</c:v>
                </c:pt>
                <c:pt idx="6">
                  <c:v>2016</c:v>
                </c:pt>
                <c:pt idx="7">
                  <c:v>2017</c:v>
                </c:pt>
                <c:pt idx="8">
                  <c:v>2018</c:v>
                </c:pt>
                <c:pt idx="9">
                  <c:v>2019</c:v>
                </c:pt>
              </c:numCache>
            </c:numRef>
          </c:cat>
          <c:val>
            <c:numRef>
              <c:f>Sheet1!$B$2:$K$2</c:f>
              <c:numCache>
                <c:formatCode>_-* #,##0_-;_-* #,##0\-;_-* "-"??_-;_-@_-</c:formatCode>
                <c:ptCount val="10"/>
                <c:pt idx="0">
                  <c:v>221348</c:v>
                </c:pt>
                <c:pt idx="1">
                  <c:v>296959</c:v>
                </c:pt>
                <c:pt idx="2">
                  <c:v>379099</c:v>
                </c:pt>
                <c:pt idx="3">
                  <c:v>452622</c:v>
                </c:pt>
                <c:pt idx="4">
                  <c:v>529319</c:v>
                </c:pt>
                <c:pt idx="5">
                  <c:v>619285</c:v>
                </c:pt>
                <c:pt idx="6">
                  <c:v>635882</c:v>
                </c:pt>
                <c:pt idx="7">
                  <c:v>653423</c:v>
                </c:pt>
                <c:pt idx="8">
                  <c:v>670956</c:v>
                </c:pt>
                <c:pt idx="9">
                  <c:v>688262</c:v>
                </c:pt>
              </c:numCache>
            </c:numRef>
          </c:val>
          <c:extLst>
            <c:ext xmlns:c16="http://schemas.microsoft.com/office/drawing/2014/chart" uri="{C3380CC4-5D6E-409C-BE32-E72D297353CC}">
              <c16:uniqueId val="{00000001-BFF3-4567-A339-89983AAE5305}"/>
            </c:ext>
          </c:extLst>
        </c:ser>
        <c:dLbls>
          <c:showLegendKey val="0"/>
          <c:showVal val="1"/>
          <c:showCatName val="0"/>
          <c:showSerName val="0"/>
          <c:showPercent val="0"/>
          <c:showBubbleSize val="0"/>
        </c:dLbls>
        <c:gapWidth val="75"/>
        <c:axId val="45643264"/>
        <c:axId val="45644800"/>
      </c:barChart>
      <c:catAx>
        <c:axId val="45643264"/>
        <c:scaling>
          <c:orientation val="minMax"/>
        </c:scaling>
        <c:delete val="0"/>
        <c:axPos val="b"/>
        <c:numFmt formatCode="General" sourceLinked="1"/>
        <c:majorTickMark val="none"/>
        <c:minorTickMark val="none"/>
        <c:tickLblPos val="nextTo"/>
        <c:spPr>
          <a:ln w="2974">
            <a:solidFill>
              <a:srgbClr val="000000"/>
            </a:solidFill>
            <a:prstDash val="solid"/>
          </a:ln>
        </c:spPr>
        <c:txPr>
          <a:bodyPr rot="0" vert="horz"/>
          <a:lstStyle/>
          <a:p>
            <a:pPr>
              <a:defRPr/>
            </a:pPr>
            <a:endParaRPr lang="en-US"/>
          </a:p>
        </c:txPr>
        <c:crossAx val="45644800"/>
        <c:crosses val="autoZero"/>
        <c:auto val="1"/>
        <c:lblAlgn val="ctr"/>
        <c:lblOffset val="100"/>
        <c:tickLblSkip val="1"/>
        <c:tickMarkSkip val="1"/>
        <c:noMultiLvlLbl val="0"/>
      </c:catAx>
      <c:valAx>
        <c:axId val="45644800"/>
        <c:scaling>
          <c:orientation val="minMax"/>
        </c:scaling>
        <c:delete val="1"/>
        <c:axPos val="l"/>
        <c:numFmt formatCode="General" sourceLinked="1"/>
        <c:majorTickMark val="none"/>
        <c:minorTickMark val="none"/>
        <c:tickLblPos val="none"/>
        <c:crossAx val="45643264"/>
        <c:crosses val="autoZero"/>
        <c:crossBetween val="between"/>
      </c:valAx>
      <c:spPr>
        <a:noFill/>
        <a:ln w="25400">
          <a:noFill/>
        </a:ln>
      </c:spPr>
    </c:plotArea>
    <c:plotVisOnly val="1"/>
    <c:dispBlanksAs val="gap"/>
    <c:showDLblsOverMax val="0"/>
  </c:chart>
  <c:spPr>
    <a:ln>
      <a:noFill/>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85C02-6138-427A-844A-F0040728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3641</Words>
  <Characters>20755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24348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MOHAMMAD EL-MASRI</cp:lastModifiedBy>
  <cp:revision>13</cp:revision>
  <cp:lastPrinted>2020-11-10T09:43:00Z</cp:lastPrinted>
  <dcterms:created xsi:type="dcterms:W3CDTF">2020-10-28T09:14:00Z</dcterms:created>
  <dcterms:modified xsi:type="dcterms:W3CDTF">2020-11-10T09:46:00Z</dcterms:modified>
</cp:coreProperties>
</file>